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87542B" w:rsidRPr="00866FC7" w14:paraId="4689B423" w14:textId="77777777" w:rsidTr="00D060D7">
        <w:tc>
          <w:tcPr>
            <w:tcW w:w="2356" w:type="dxa"/>
          </w:tcPr>
          <w:p w14:paraId="58B76B9B" w14:textId="77777777" w:rsidR="0087542B" w:rsidRPr="00866FC7" w:rsidRDefault="0087542B" w:rsidP="00D060D7">
            <w:pPr>
              <w:rPr>
                <w:rFonts w:ascii="Arial" w:eastAsia="Calibri" w:hAnsi="Arial" w:cs="Arial"/>
                <w:b/>
                <w:sz w:val="26"/>
                <w:szCs w:val="26"/>
              </w:rPr>
            </w:pPr>
          </w:p>
        </w:tc>
        <w:tc>
          <w:tcPr>
            <w:tcW w:w="7424" w:type="dxa"/>
          </w:tcPr>
          <w:p w14:paraId="0FA7F8C5" w14:textId="77777777" w:rsidR="0087542B" w:rsidRPr="00866FC7" w:rsidRDefault="0087542B"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1F2718C9" w:rsidR="0087542B" w:rsidRPr="00866FC7" w:rsidRDefault="00E10CAA" w:rsidP="005F62FE">
            <w:pPr>
              <w:tabs>
                <w:tab w:val="left" w:pos="3103"/>
              </w:tabs>
              <w:ind w:left="905" w:right="709" w:hanging="993"/>
              <w:jc w:val="both"/>
              <w:rPr>
                <w:rFonts w:ascii="Arial" w:eastAsia="Calibri" w:hAnsi="Arial" w:cs="Arial"/>
                <w:b/>
                <w:iCs/>
                <w:caps/>
                <w:sz w:val="26"/>
                <w:szCs w:val="26"/>
              </w:rPr>
            </w:pPr>
            <w:r>
              <w:rPr>
                <w:rFonts w:ascii="Arial" w:eastAsia="Calibri" w:hAnsi="Arial" w:cs="Arial"/>
                <w:b/>
                <w:i/>
                <w:iCs/>
                <w:caps/>
                <w:sz w:val="26"/>
                <w:szCs w:val="26"/>
              </w:rPr>
              <w:t xml:space="preserve">              </w:t>
            </w:r>
            <w:r w:rsidR="0087542B" w:rsidRPr="00866FC7">
              <w:rPr>
                <w:rFonts w:ascii="Arial" w:eastAsia="Calibri" w:hAnsi="Arial" w:cs="Arial"/>
                <w:b/>
                <w:iCs/>
                <w:caps/>
                <w:sz w:val="26"/>
                <w:szCs w:val="26"/>
              </w:rPr>
              <w:t xml:space="preserve">SALA SUPERIOR DEL </w:t>
            </w:r>
            <w:r w:rsidR="00A67B19" w:rsidRPr="00866FC7">
              <w:rPr>
                <w:rFonts w:ascii="Arial" w:eastAsia="Calibri" w:hAnsi="Arial" w:cs="Arial"/>
                <w:b/>
                <w:iCs/>
                <w:caps/>
                <w:sz w:val="26"/>
                <w:szCs w:val="26"/>
              </w:rPr>
              <w:t xml:space="preserve">TRIBUNAL </w:t>
            </w:r>
            <w:r w:rsidR="00A67B19">
              <w:rPr>
                <w:rFonts w:ascii="Arial" w:eastAsia="Calibri" w:hAnsi="Arial" w:cs="Arial"/>
                <w:b/>
                <w:iCs/>
                <w:caps/>
                <w:sz w:val="26"/>
                <w:szCs w:val="26"/>
              </w:rPr>
              <w:t>DE</w:t>
            </w:r>
            <w:r w:rsidR="0087542B">
              <w:rPr>
                <w:rFonts w:ascii="Arial" w:eastAsia="Calibri" w:hAnsi="Arial" w:cs="Arial"/>
                <w:b/>
                <w:iCs/>
                <w:caps/>
                <w:sz w:val="26"/>
                <w:szCs w:val="26"/>
              </w:rPr>
              <w:t xml:space="preserve"> JUSTICIA ADMINISTRATIVA DEL </w:t>
            </w:r>
            <w:r w:rsidR="0087542B" w:rsidRPr="00866FC7">
              <w:rPr>
                <w:rFonts w:ascii="Arial" w:eastAsia="Calibri" w:hAnsi="Arial" w:cs="Arial"/>
                <w:b/>
                <w:iCs/>
                <w:caps/>
                <w:sz w:val="26"/>
                <w:szCs w:val="26"/>
              </w:rPr>
              <w:t>ESTADO</w:t>
            </w:r>
            <w:r w:rsidR="0087542B">
              <w:rPr>
                <w:rFonts w:ascii="Arial" w:eastAsia="Calibri" w:hAnsi="Arial" w:cs="Arial"/>
                <w:b/>
                <w:iCs/>
                <w:caps/>
                <w:sz w:val="26"/>
                <w:szCs w:val="26"/>
              </w:rPr>
              <w:t xml:space="preserve"> DE OAXACA.</w:t>
            </w:r>
          </w:p>
          <w:p w14:paraId="15308983" w14:textId="77777777" w:rsidR="0087542B" w:rsidRPr="00866FC7" w:rsidRDefault="0087542B" w:rsidP="005F62FE">
            <w:pPr>
              <w:tabs>
                <w:tab w:val="right" w:pos="8504"/>
              </w:tabs>
              <w:ind w:left="905" w:right="709" w:hanging="993"/>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4CD31E53" w:rsidR="0087542B" w:rsidRDefault="0087542B" w:rsidP="005F62FE">
            <w:pPr>
              <w:tabs>
                <w:tab w:val="right" w:pos="8504"/>
              </w:tabs>
              <w:ind w:left="905" w:right="709" w:hanging="993"/>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5F62FE">
              <w:rPr>
                <w:rFonts w:ascii="Arial" w:eastAsia="PMingLiU" w:hAnsi="Arial" w:cs="Arial"/>
                <w:b/>
                <w:iCs/>
                <w:caps/>
                <w:sz w:val="26"/>
                <w:szCs w:val="26"/>
                <w:lang w:eastAsia="zh-TW"/>
              </w:rPr>
              <w:t xml:space="preserve">     </w:t>
            </w:r>
            <w:r w:rsidR="00A113B9">
              <w:rPr>
                <w:rFonts w:ascii="Arial" w:eastAsia="PMingLiU" w:hAnsi="Arial" w:cs="Arial"/>
                <w:b/>
                <w:iCs/>
                <w:caps/>
                <w:sz w:val="26"/>
                <w:szCs w:val="26"/>
                <w:lang w:eastAsia="zh-TW"/>
              </w:rPr>
              <w:t>RECURSO DE REVISIÓN:  174</w:t>
            </w:r>
            <w:r w:rsidR="007F3346">
              <w:rPr>
                <w:rFonts w:ascii="Arial" w:eastAsia="PMingLiU" w:hAnsi="Arial" w:cs="Arial"/>
                <w:b/>
                <w:iCs/>
                <w:caps/>
                <w:sz w:val="26"/>
                <w:szCs w:val="26"/>
                <w:lang w:eastAsia="zh-TW"/>
              </w:rPr>
              <w:t>/2018</w:t>
            </w:r>
          </w:p>
          <w:p w14:paraId="5A3F3C5A" w14:textId="77777777" w:rsidR="00E10CAA" w:rsidRPr="00866FC7" w:rsidRDefault="00E10CAA" w:rsidP="005F62FE">
            <w:pPr>
              <w:tabs>
                <w:tab w:val="right" w:pos="8504"/>
              </w:tabs>
              <w:ind w:left="905" w:right="709" w:hanging="993"/>
              <w:jc w:val="both"/>
              <w:rPr>
                <w:rFonts w:ascii="Arial" w:eastAsia="PMingLiU" w:hAnsi="Arial" w:cs="Arial"/>
                <w:b/>
                <w:iCs/>
                <w:caps/>
                <w:sz w:val="26"/>
                <w:szCs w:val="26"/>
                <w:lang w:eastAsia="zh-TW"/>
              </w:rPr>
            </w:pPr>
          </w:p>
          <w:p w14:paraId="5231912B" w14:textId="197795E2" w:rsidR="0087542B" w:rsidRPr="00866FC7" w:rsidRDefault="00E10CAA" w:rsidP="005F62FE">
            <w:pPr>
              <w:tabs>
                <w:tab w:val="right" w:pos="8504"/>
              </w:tabs>
              <w:ind w:left="905" w:right="709" w:hanging="993"/>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67144D">
              <w:rPr>
                <w:rFonts w:ascii="Arial" w:eastAsia="PMingLiU" w:hAnsi="Arial" w:cs="Arial"/>
                <w:b/>
                <w:iCs/>
                <w:caps/>
                <w:sz w:val="26"/>
                <w:szCs w:val="26"/>
                <w:lang w:eastAsia="zh-TW"/>
              </w:rPr>
              <w:t>expediente</w:t>
            </w:r>
            <w:r w:rsidR="00063AEE">
              <w:rPr>
                <w:rFonts w:ascii="Arial" w:eastAsia="PMingLiU" w:hAnsi="Arial" w:cs="Arial"/>
                <w:b/>
                <w:iCs/>
                <w:caps/>
                <w:sz w:val="26"/>
                <w:szCs w:val="26"/>
                <w:lang w:eastAsia="zh-TW"/>
              </w:rPr>
              <w:t xml:space="preserve">: </w:t>
            </w:r>
            <w:r w:rsidR="00A113B9">
              <w:rPr>
                <w:rFonts w:ascii="Arial" w:eastAsia="PMingLiU" w:hAnsi="Arial" w:cs="Arial"/>
                <w:b/>
                <w:iCs/>
                <w:caps/>
                <w:sz w:val="26"/>
                <w:szCs w:val="26"/>
                <w:lang w:eastAsia="zh-TW"/>
              </w:rPr>
              <w:t>325/2016</w:t>
            </w:r>
            <w:r w:rsidR="0087542B">
              <w:rPr>
                <w:rFonts w:ascii="Arial" w:eastAsia="PMingLiU" w:hAnsi="Arial" w:cs="Arial"/>
                <w:b/>
                <w:iCs/>
                <w:caps/>
                <w:sz w:val="26"/>
                <w:szCs w:val="26"/>
                <w:lang w:eastAsia="zh-TW"/>
              </w:rPr>
              <w:t xml:space="preserve"> DE LA </w:t>
            </w:r>
            <w:r w:rsidR="00A113B9">
              <w:rPr>
                <w:rFonts w:ascii="Arial" w:eastAsia="PMingLiU" w:hAnsi="Arial" w:cs="Arial"/>
                <w:b/>
                <w:iCs/>
                <w:caps/>
                <w:sz w:val="26"/>
                <w:szCs w:val="26"/>
                <w:lang w:eastAsia="zh-TW"/>
              </w:rPr>
              <w:t>tercera</w:t>
            </w:r>
            <w:r w:rsidR="000A0212">
              <w:rPr>
                <w:rFonts w:ascii="Arial" w:eastAsia="PMingLiU" w:hAnsi="Arial" w:cs="Arial"/>
                <w:b/>
                <w:iCs/>
                <w:caps/>
                <w:sz w:val="26"/>
                <w:szCs w:val="26"/>
                <w:lang w:eastAsia="zh-TW"/>
              </w:rPr>
              <w:t xml:space="preserve"> </w:t>
            </w:r>
            <w:r w:rsidR="0087542B">
              <w:rPr>
                <w:rFonts w:ascii="Arial" w:eastAsia="PMingLiU" w:hAnsi="Arial" w:cs="Arial"/>
                <w:b/>
                <w:iCs/>
                <w:caps/>
                <w:sz w:val="26"/>
                <w:szCs w:val="26"/>
                <w:lang w:eastAsia="zh-TW"/>
              </w:rPr>
              <w:t>sala</w:t>
            </w:r>
            <w:r w:rsidR="007F3346">
              <w:rPr>
                <w:rFonts w:ascii="Arial" w:eastAsia="PMingLiU" w:hAnsi="Arial" w:cs="Arial"/>
                <w:b/>
                <w:iCs/>
                <w:caps/>
                <w:sz w:val="26"/>
                <w:szCs w:val="26"/>
                <w:lang w:eastAsia="zh-TW"/>
              </w:rPr>
              <w:t xml:space="preserve"> UNI</w:t>
            </w:r>
            <w:r w:rsidR="0087542B" w:rsidRPr="00866FC7">
              <w:rPr>
                <w:rFonts w:ascii="Arial" w:eastAsia="PMingLiU" w:hAnsi="Arial" w:cs="Arial"/>
                <w:b/>
                <w:iCs/>
                <w:caps/>
                <w:sz w:val="26"/>
                <w:szCs w:val="26"/>
                <w:lang w:eastAsia="zh-TW"/>
              </w:rPr>
              <w:t xml:space="preserve">ITARIA de primera instancia. </w:t>
            </w:r>
          </w:p>
          <w:p w14:paraId="529B098B" w14:textId="77777777" w:rsidR="0087542B" w:rsidRPr="00866FC7" w:rsidRDefault="0087542B" w:rsidP="005F62FE">
            <w:pPr>
              <w:tabs>
                <w:tab w:val="right" w:pos="8504"/>
              </w:tabs>
              <w:ind w:left="905" w:right="709" w:hanging="993"/>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037F49A7" w:rsidR="0087542B" w:rsidRPr="00866FC7" w:rsidRDefault="00E10CAA" w:rsidP="005F62FE">
            <w:pPr>
              <w:tabs>
                <w:tab w:val="right" w:pos="8504"/>
              </w:tabs>
              <w:ind w:left="905" w:right="709" w:hanging="993"/>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87542B">
              <w:rPr>
                <w:rFonts w:ascii="Arial" w:eastAsia="PMingLiU" w:hAnsi="Arial" w:cs="Arial"/>
                <w:b/>
                <w:iCs/>
                <w:caps/>
                <w:sz w:val="26"/>
                <w:szCs w:val="26"/>
                <w:lang w:eastAsia="zh-TW"/>
              </w:rPr>
              <w:t>ponente:</w:t>
            </w:r>
            <w:r w:rsidR="000A0212">
              <w:rPr>
                <w:rFonts w:ascii="Arial" w:eastAsia="PMingLiU" w:hAnsi="Arial" w:cs="Arial"/>
                <w:b/>
                <w:iCs/>
                <w:caps/>
                <w:sz w:val="26"/>
                <w:szCs w:val="26"/>
                <w:lang w:eastAsia="zh-TW"/>
              </w:rPr>
              <w:t xml:space="preserve"> MAGISTRADA </w:t>
            </w:r>
            <w:r w:rsidR="0087542B">
              <w:rPr>
                <w:rFonts w:ascii="Arial" w:eastAsia="PMingLiU" w:hAnsi="Arial" w:cs="Arial"/>
                <w:b/>
                <w:iCs/>
                <w:caps/>
                <w:sz w:val="26"/>
                <w:szCs w:val="26"/>
                <w:lang w:eastAsia="zh-TW"/>
              </w:rPr>
              <w:t>MARÍA ELENA VILLA DE JARQUÍ</w:t>
            </w:r>
            <w:r w:rsidR="0087542B" w:rsidRPr="00866FC7">
              <w:rPr>
                <w:rFonts w:ascii="Arial" w:eastAsia="PMingLiU" w:hAnsi="Arial" w:cs="Arial"/>
                <w:b/>
                <w:iCs/>
                <w:caps/>
                <w:sz w:val="26"/>
                <w:szCs w:val="26"/>
                <w:lang w:eastAsia="zh-TW"/>
              </w:rPr>
              <w:t>N.</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D060D7">
        <w:tc>
          <w:tcPr>
            <w:tcW w:w="2356" w:type="dxa"/>
          </w:tcPr>
          <w:p w14:paraId="2BD0712B" w14:textId="77777777" w:rsidR="0087542B" w:rsidRPr="00866FC7" w:rsidRDefault="0087542B" w:rsidP="00D060D7">
            <w:pPr>
              <w:rPr>
                <w:rFonts w:ascii="Arial" w:eastAsia="Calibri" w:hAnsi="Arial" w:cs="Arial"/>
                <w:b/>
                <w:sz w:val="26"/>
                <w:szCs w:val="26"/>
              </w:rPr>
            </w:pPr>
          </w:p>
        </w:tc>
        <w:tc>
          <w:tcPr>
            <w:tcW w:w="7424"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D060D7">
        <w:tc>
          <w:tcPr>
            <w:tcW w:w="2356" w:type="dxa"/>
          </w:tcPr>
          <w:p w14:paraId="6E48FBA0" w14:textId="77777777" w:rsidR="0087542B" w:rsidRPr="00866FC7" w:rsidRDefault="0087542B" w:rsidP="00D060D7">
            <w:pPr>
              <w:rPr>
                <w:rFonts w:ascii="Arial" w:eastAsia="Calibri" w:hAnsi="Arial" w:cs="Arial"/>
                <w:b/>
                <w:sz w:val="26"/>
                <w:szCs w:val="26"/>
              </w:rPr>
            </w:pPr>
          </w:p>
        </w:tc>
        <w:tc>
          <w:tcPr>
            <w:tcW w:w="7424"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2522CAD7" w14:textId="7BBF2005"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sidR="00E10CAA">
        <w:rPr>
          <w:rFonts w:ascii="Arial" w:eastAsia="Calibri" w:hAnsi="Arial" w:cs="Arial"/>
          <w:b/>
          <w:sz w:val="26"/>
          <w:szCs w:val="26"/>
        </w:rPr>
        <w:t xml:space="preserve">AXACA DE JUÁREZ, OAXACA, VEINTIUNO </w:t>
      </w:r>
      <w:r>
        <w:rPr>
          <w:rFonts w:ascii="Arial" w:eastAsia="Calibri" w:hAnsi="Arial" w:cs="Arial"/>
          <w:b/>
          <w:sz w:val="26"/>
          <w:szCs w:val="26"/>
        </w:rPr>
        <w:t xml:space="preserve">DE </w:t>
      </w:r>
      <w:r w:rsidR="00D36689">
        <w:rPr>
          <w:rFonts w:ascii="Arial" w:eastAsia="Calibri" w:hAnsi="Arial" w:cs="Arial"/>
          <w:b/>
          <w:sz w:val="26"/>
          <w:szCs w:val="26"/>
        </w:rPr>
        <w:t xml:space="preserve">FEBRERO DE </w:t>
      </w:r>
      <w:r>
        <w:rPr>
          <w:rFonts w:ascii="Arial" w:eastAsia="Calibri" w:hAnsi="Arial" w:cs="Arial"/>
          <w:b/>
          <w:sz w:val="26"/>
          <w:szCs w:val="26"/>
        </w:rPr>
        <w:t xml:space="preserve"> DOS MIL DIECI</w:t>
      </w:r>
      <w:r w:rsidR="00D36689">
        <w:rPr>
          <w:rFonts w:ascii="Arial" w:eastAsia="Calibri" w:hAnsi="Arial" w:cs="Arial"/>
          <w:b/>
          <w:sz w:val="26"/>
          <w:szCs w:val="26"/>
        </w:rPr>
        <w:t>NUEVE</w:t>
      </w:r>
      <w:r>
        <w:rPr>
          <w:rFonts w:ascii="Arial" w:eastAsia="Calibri" w:hAnsi="Arial" w:cs="Arial"/>
          <w:b/>
          <w:sz w:val="26"/>
          <w:szCs w:val="26"/>
        </w:rPr>
        <w:t xml:space="preserve">.   </w:t>
      </w:r>
    </w:p>
    <w:p w14:paraId="42CC6D9D" w14:textId="029F99CF" w:rsidR="0087542B" w:rsidRPr="00866FC7" w:rsidRDefault="0087542B" w:rsidP="0087542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A113B9">
        <w:rPr>
          <w:rFonts w:ascii="Arial" w:hAnsi="Arial" w:cs="Arial"/>
          <w:b/>
          <w:sz w:val="26"/>
          <w:szCs w:val="26"/>
        </w:rPr>
        <w:t>174</w:t>
      </w:r>
      <w:r w:rsidRPr="00866FC7">
        <w:rPr>
          <w:rFonts w:ascii="Arial" w:hAnsi="Arial" w:cs="Arial"/>
          <w:b/>
          <w:sz w:val="26"/>
          <w:szCs w:val="26"/>
        </w:rPr>
        <w:t>/201</w:t>
      </w:r>
      <w:r w:rsidR="007F3346">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sidR="005B3C45">
        <w:rPr>
          <w:rFonts w:ascii="Arial" w:hAnsi="Arial" w:cs="Arial"/>
          <w:b/>
          <w:sz w:val="26"/>
          <w:szCs w:val="26"/>
        </w:rPr>
        <w:t xml:space="preserve"> </w:t>
      </w:r>
      <w:r w:rsidR="00A46E42">
        <w:rPr>
          <w:rFonts w:ascii="Arial" w:hAnsi="Arial" w:cs="Arial"/>
          <w:b/>
          <w:sz w:val="26"/>
          <w:szCs w:val="26"/>
        </w:rPr>
        <w:t>**********</w:t>
      </w:r>
      <w:r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Pr>
          <w:rFonts w:ascii="Arial" w:hAnsi="Arial" w:cs="Arial"/>
          <w:sz w:val="26"/>
          <w:szCs w:val="26"/>
        </w:rPr>
        <w:t xml:space="preserve">de la </w:t>
      </w:r>
      <w:r w:rsidR="005B3C45">
        <w:rPr>
          <w:rFonts w:ascii="Arial" w:hAnsi="Arial" w:cs="Arial"/>
          <w:sz w:val="26"/>
          <w:szCs w:val="26"/>
        </w:rPr>
        <w:t xml:space="preserve">sentencia de </w:t>
      </w:r>
      <w:r w:rsidR="00A113B9">
        <w:rPr>
          <w:rFonts w:ascii="Arial" w:hAnsi="Arial" w:cs="Arial"/>
          <w:sz w:val="26"/>
          <w:szCs w:val="26"/>
        </w:rPr>
        <w:t xml:space="preserve">29 veintinueve de enero </w:t>
      </w:r>
      <w:r w:rsidR="007F3346">
        <w:rPr>
          <w:rFonts w:ascii="Arial" w:hAnsi="Arial" w:cs="Arial"/>
          <w:sz w:val="26"/>
          <w:szCs w:val="26"/>
        </w:rPr>
        <w:t>de 2018 dos mil dieciocho</w:t>
      </w:r>
      <w:r>
        <w:rPr>
          <w:rFonts w:ascii="Arial" w:hAnsi="Arial" w:cs="Arial"/>
          <w:sz w:val="26"/>
          <w:szCs w:val="26"/>
        </w:rPr>
        <w:t>, dictada</w:t>
      </w:r>
      <w:r w:rsidRPr="00866FC7">
        <w:rPr>
          <w:rFonts w:ascii="Arial" w:hAnsi="Arial" w:cs="Arial"/>
          <w:sz w:val="26"/>
          <w:szCs w:val="26"/>
        </w:rPr>
        <w:t xml:space="preserve"> en el </w:t>
      </w:r>
      <w:r w:rsidR="005B3C45">
        <w:rPr>
          <w:rFonts w:ascii="Arial" w:hAnsi="Arial" w:cs="Arial"/>
          <w:sz w:val="26"/>
          <w:szCs w:val="26"/>
        </w:rPr>
        <w:t>expediente</w:t>
      </w:r>
      <w:r w:rsidR="007F3346">
        <w:rPr>
          <w:rFonts w:ascii="Arial" w:hAnsi="Arial" w:cs="Arial"/>
          <w:sz w:val="26"/>
          <w:szCs w:val="26"/>
        </w:rPr>
        <w:t xml:space="preserve"> </w:t>
      </w:r>
      <w:r w:rsidR="00A113B9">
        <w:rPr>
          <w:rFonts w:ascii="Arial" w:hAnsi="Arial" w:cs="Arial"/>
          <w:b/>
          <w:sz w:val="26"/>
          <w:szCs w:val="26"/>
        </w:rPr>
        <w:t>325/2016</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A113B9">
        <w:rPr>
          <w:rFonts w:ascii="Arial" w:hAnsi="Arial" w:cs="Arial"/>
          <w:sz w:val="26"/>
          <w:szCs w:val="26"/>
        </w:rPr>
        <w:t>Tercera</w:t>
      </w:r>
      <w:r>
        <w:rPr>
          <w:rFonts w:ascii="Arial" w:hAnsi="Arial" w:cs="Arial"/>
          <w:sz w:val="26"/>
          <w:szCs w:val="26"/>
        </w:rPr>
        <w:t xml:space="preserve"> 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 </w:t>
      </w:r>
      <w:r w:rsidR="00A46E42">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7F3346">
        <w:rPr>
          <w:rFonts w:ascii="Arial" w:hAnsi="Arial" w:cs="Arial"/>
          <w:b/>
          <w:sz w:val="26"/>
          <w:szCs w:val="26"/>
        </w:rPr>
        <w:t>SECR</w:t>
      </w:r>
      <w:r w:rsidR="00AE54FE">
        <w:rPr>
          <w:rFonts w:ascii="Arial" w:hAnsi="Arial" w:cs="Arial"/>
          <w:b/>
          <w:sz w:val="26"/>
          <w:szCs w:val="26"/>
        </w:rPr>
        <w:t>ETARIO DE VIALIDAD Y TRANSPORTE</w:t>
      </w:r>
      <w:r w:rsidR="007F3346">
        <w:rPr>
          <w:rFonts w:ascii="Arial" w:hAnsi="Arial" w:cs="Arial"/>
          <w:b/>
          <w:sz w:val="26"/>
          <w:szCs w:val="26"/>
        </w:rPr>
        <w:t xml:space="preserve"> DEL ESTADO</w:t>
      </w:r>
      <w:r w:rsidR="00E10CAA">
        <w:rPr>
          <w:rFonts w:ascii="Arial" w:hAnsi="Arial" w:cs="Arial"/>
          <w:b/>
          <w:sz w:val="26"/>
          <w:szCs w:val="26"/>
        </w:rPr>
        <w:t>, Y JEFE OPERATIVO DE TRÁ</w:t>
      </w:r>
      <w:r w:rsidR="005852AB">
        <w:rPr>
          <w:rFonts w:ascii="Arial" w:hAnsi="Arial" w:cs="Arial"/>
          <w:b/>
          <w:sz w:val="26"/>
          <w:szCs w:val="26"/>
        </w:rPr>
        <w:t xml:space="preserve">NSITO DEL ESTADO  EN LA VILLA DE ETLA, OAXACA, </w:t>
      </w:r>
      <w:r w:rsidR="00D36689" w:rsidRPr="005F62FE">
        <w:rPr>
          <w:rFonts w:ascii="Arial" w:eastAsia="Calibri" w:hAnsi="Arial" w:cs="Arial"/>
          <w:sz w:val="26"/>
          <w:szCs w:val="26"/>
        </w:rPr>
        <w:t xml:space="preserve">por lo que con fundamento en los artículos 207 y 208, de la Ley de Justicia Administrativa para el Estado de Oaxaca, </w:t>
      </w:r>
      <w:r w:rsidR="00D36689" w:rsidRPr="005F62FE">
        <w:rPr>
          <w:rFonts w:ascii="Arial" w:hAnsi="Arial" w:cs="Arial"/>
          <w:bCs/>
          <w:iCs/>
          <w:sz w:val="26"/>
          <w:szCs w:val="26"/>
        </w:rPr>
        <w:t>vigente hasta el 20 veinte de octubre de 2017 dos mil diecisiete</w:t>
      </w:r>
      <w:r w:rsidRPr="005F62FE">
        <w:rPr>
          <w:rFonts w:ascii="Arial" w:hAnsi="Arial" w:cs="Arial"/>
          <w:sz w:val="26"/>
          <w:szCs w:val="26"/>
        </w:rPr>
        <w:t>, se admite. En consecuencia, se procede a dictar resolución en los siguientes términos:</w:t>
      </w:r>
    </w:p>
    <w:p w14:paraId="3795F784" w14:textId="77777777" w:rsidR="0087542B" w:rsidRPr="00866FC7" w:rsidRDefault="0087542B" w:rsidP="0087542B">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1497ABFD" w14:textId="00C2415B"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w:t>
      </w:r>
      <w:r w:rsidR="00AE54FE">
        <w:rPr>
          <w:rFonts w:ascii="Arial" w:eastAsia="Calibri" w:hAnsi="Arial" w:cs="Arial"/>
          <w:sz w:val="26"/>
          <w:szCs w:val="26"/>
        </w:rPr>
        <w:t xml:space="preserve">sentencia de </w:t>
      </w:r>
      <w:r w:rsidR="00A113B9">
        <w:rPr>
          <w:rFonts w:ascii="Arial" w:eastAsia="Calibri" w:hAnsi="Arial" w:cs="Arial"/>
          <w:sz w:val="26"/>
          <w:szCs w:val="26"/>
        </w:rPr>
        <w:t xml:space="preserve">29 veintinueve de enero </w:t>
      </w:r>
      <w:r w:rsidR="007F3346">
        <w:rPr>
          <w:rFonts w:ascii="Arial" w:eastAsia="Calibri" w:hAnsi="Arial" w:cs="Arial"/>
          <w:sz w:val="26"/>
          <w:szCs w:val="26"/>
        </w:rPr>
        <w:t>de 2018 dos mil dieciocho</w:t>
      </w:r>
      <w:r w:rsidR="005852AB">
        <w:rPr>
          <w:rFonts w:ascii="Arial" w:eastAsia="Calibri" w:hAnsi="Arial" w:cs="Arial"/>
          <w:sz w:val="26"/>
          <w:szCs w:val="26"/>
        </w:rPr>
        <w:t>, dictada</w:t>
      </w:r>
      <w:r>
        <w:rPr>
          <w:rFonts w:ascii="Arial" w:eastAsia="Calibri" w:hAnsi="Arial" w:cs="Arial"/>
          <w:sz w:val="26"/>
          <w:szCs w:val="26"/>
        </w:rPr>
        <w:t xml:space="preserve"> por la </w:t>
      </w:r>
      <w:r w:rsidR="00A113B9">
        <w:rPr>
          <w:rFonts w:ascii="Arial" w:eastAsia="Calibri" w:hAnsi="Arial" w:cs="Arial"/>
          <w:sz w:val="26"/>
          <w:szCs w:val="26"/>
        </w:rPr>
        <w:t>Tercera</w:t>
      </w:r>
      <w:r w:rsidR="00DD3DBF">
        <w:rPr>
          <w:rFonts w:ascii="Arial" w:eastAsia="Calibri" w:hAnsi="Arial" w:cs="Arial"/>
          <w:sz w:val="26"/>
          <w:szCs w:val="26"/>
        </w:rPr>
        <w:t xml:space="preserve"> </w:t>
      </w:r>
      <w:r>
        <w:rPr>
          <w:rFonts w:ascii="Arial" w:eastAsia="Calibri" w:hAnsi="Arial" w:cs="Arial"/>
          <w:sz w:val="26"/>
          <w:szCs w:val="26"/>
        </w:rPr>
        <w:t>Sala Unitaria</w:t>
      </w:r>
      <w:r w:rsidR="007F3346">
        <w:rPr>
          <w:rFonts w:ascii="Arial" w:eastAsia="Calibri" w:hAnsi="Arial" w:cs="Arial"/>
          <w:sz w:val="26"/>
          <w:szCs w:val="26"/>
        </w:rPr>
        <w:t xml:space="preserve"> de P</w:t>
      </w:r>
      <w:r>
        <w:rPr>
          <w:rFonts w:ascii="Arial" w:eastAsia="Calibri" w:hAnsi="Arial" w:cs="Arial"/>
          <w:sz w:val="26"/>
          <w:szCs w:val="26"/>
        </w:rPr>
        <w:t xml:space="preserve">rimera </w:t>
      </w:r>
      <w:r w:rsidR="007F3346">
        <w:rPr>
          <w:rFonts w:ascii="Arial" w:eastAsia="Calibri" w:hAnsi="Arial" w:cs="Arial"/>
          <w:sz w:val="26"/>
          <w:szCs w:val="26"/>
        </w:rPr>
        <w:t>I</w:t>
      </w:r>
      <w:r>
        <w:rPr>
          <w:rFonts w:ascii="Arial" w:eastAsia="Calibri" w:hAnsi="Arial" w:cs="Arial"/>
          <w:sz w:val="26"/>
          <w:szCs w:val="26"/>
        </w:rPr>
        <w:t xml:space="preserve">nstancia, </w:t>
      </w:r>
      <w:r w:rsidR="00A46E42">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interpuso en su contra recurso de revisión. </w:t>
      </w:r>
    </w:p>
    <w:p w14:paraId="0F454C16" w14:textId="19ADBABD" w:rsidR="0087542B" w:rsidRPr="00866FC7" w:rsidRDefault="0087542B" w:rsidP="0087542B">
      <w:pPr>
        <w:spacing w:line="360" w:lineRule="auto"/>
        <w:ind w:firstLine="709"/>
        <w:jc w:val="both"/>
        <w:rPr>
          <w:rFonts w:ascii="Arial" w:eastAsia="Calibri" w:hAnsi="Arial" w:cs="Arial"/>
          <w:sz w:val="26"/>
          <w:szCs w:val="26"/>
        </w:rPr>
      </w:pPr>
      <w:r>
        <w:rPr>
          <w:rFonts w:ascii="Arial" w:eastAsia="Calibri" w:hAnsi="Arial" w:cs="Arial"/>
          <w:sz w:val="26"/>
          <w:szCs w:val="26"/>
        </w:rPr>
        <w:t xml:space="preserve"> </w:t>
      </w:r>
    </w:p>
    <w:p w14:paraId="72046E67" w14:textId="0B9DA8F2" w:rsidR="00DD3DBF" w:rsidRDefault="0087542B" w:rsidP="00D36689">
      <w:pPr>
        <w:spacing w:line="360" w:lineRule="auto"/>
        <w:ind w:left="284" w:right="49" w:firstLine="425"/>
        <w:jc w:val="both"/>
        <w:rPr>
          <w:rFonts w:ascii="Arial" w:eastAsia="Calibri" w:hAnsi="Arial" w:cs="Arial"/>
          <w:bCs/>
          <w:sz w:val="26"/>
          <w:szCs w:val="26"/>
        </w:rPr>
      </w:pPr>
      <w:r w:rsidRPr="00DD3DBF">
        <w:rPr>
          <w:rFonts w:ascii="Arial" w:eastAsia="Calibri" w:hAnsi="Arial" w:cs="Arial"/>
          <w:b/>
          <w:bCs/>
          <w:sz w:val="26"/>
          <w:szCs w:val="26"/>
        </w:rPr>
        <w:t>SEGUNDO.</w:t>
      </w:r>
      <w:r w:rsidR="00DD3DBF">
        <w:rPr>
          <w:rFonts w:ascii="Arial" w:eastAsia="Calibri" w:hAnsi="Arial" w:cs="Arial"/>
          <w:b/>
          <w:bCs/>
          <w:sz w:val="26"/>
          <w:szCs w:val="26"/>
        </w:rPr>
        <w:t xml:space="preserve"> </w:t>
      </w:r>
      <w:r w:rsidR="00DD3DBF">
        <w:rPr>
          <w:rFonts w:ascii="Arial" w:eastAsia="Calibri" w:hAnsi="Arial" w:cs="Arial"/>
          <w:bCs/>
          <w:sz w:val="26"/>
          <w:szCs w:val="26"/>
        </w:rPr>
        <w:t>Los puntos resolutivos de la sentencia recurrida son los siguientes</w:t>
      </w:r>
      <w:r w:rsidRPr="00DD3DBF">
        <w:rPr>
          <w:rFonts w:ascii="Arial" w:eastAsia="Calibri" w:hAnsi="Arial" w:cs="Arial"/>
          <w:bCs/>
          <w:sz w:val="26"/>
          <w:szCs w:val="26"/>
        </w:rPr>
        <w:t>:</w:t>
      </w:r>
    </w:p>
    <w:p w14:paraId="60AF13C0" w14:textId="77777777" w:rsidR="005F62FE" w:rsidRPr="00DD3DBF" w:rsidRDefault="005F62FE" w:rsidP="00D36689">
      <w:pPr>
        <w:spacing w:line="360" w:lineRule="auto"/>
        <w:ind w:left="284" w:right="49" w:firstLine="425"/>
        <w:jc w:val="both"/>
        <w:rPr>
          <w:rFonts w:ascii="Arial" w:eastAsia="Calibri" w:hAnsi="Arial" w:cs="Arial"/>
          <w:bCs/>
          <w:sz w:val="26"/>
          <w:szCs w:val="26"/>
        </w:rPr>
      </w:pPr>
    </w:p>
    <w:p w14:paraId="0B4FC884" w14:textId="1238ADE9" w:rsidR="008D39ED" w:rsidRDefault="005852AB" w:rsidP="008D39ED">
      <w:pPr>
        <w:spacing w:line="360" w:lineRule="auto"/>
        <w:ind w:left="567" w:right="474"/>
        <w:jc w:val="both"/>
        <w:rPr>
          <w:rFonts w:ascii="Arial" w:eastAsia="Calibri" w:hAnsi="Arial" w:cs="Arial"/>
          <w:bCs/>
          <w:szCs w:val="26"/>
        </w:rPr>
      </w:pPr>
      <w:r>
        <w:rPr>
          <w:rFonts w:ascii="Arial" w:eastAsia="Calibri" w:hAnsi="Arial" w:cs="Arial"/>
          <w:b/>
          <w:bCs/>
          <w:szCs w:val="26"/>
        </w:rPr>
        <w:t>“</w:t>
      </w:r>
      <w:r w:rsidR="00F56C0B">
        <w:rPr>
          <w:rFonts w:ascii="Arial" w:eastAsia="Calibri" w:hAnsi="Arial" w:cs="Arial"/>
          <w:b/>
          <w:bCs/>
          <w:szCs w:val="26"/>
        </w:rPr>
        <w:t>PRIMERO.-</w:t>
      </w:r>
      <w:r w:rsidR="00C26787">
        <w:rPr>
          <w:rFonts w:ascii="Arial" w:eastAsia="Calibri" w:hAnsi="Arial" w:cs="Arial"/>
          <w:b/>
          <w:bCs/>
          <w:szCs w:val="26"/>
        </w:rPr>
        <w:t xml:space="preserve"> </w:t>
      </w:r>
      <w:r w:rsidR="008D39ED">
        <w:rPr>
          <w:rFonts w:ascii="Arial" w:eastAsia="Calibri" w:hAnsi="Arial" w:cs="Arial"/>
          <w:bCs/>
          <w:szCs w:val="26"/>
        </w:rPr>
        <w:t xml:space="preserve">Esta Tercera Sala Unitaria de Primera Instancia del Tribunal de lo Contencioso Administrativo y de Cuentas del Poder Judicial del Estado, fue competente para conocer y resolver del presente asunto.- - - - </w:t>
      </w:r>
    </w:p>
    <w:p w14:paraId="77072488" w14:textId="682BD102" w:rsidR="008D39ED" w:rsidRDefault="008D39ED" w:rsidP="008D39ED">
      <w:pPr>
        <w:spacing w:line="360" w:lineRule="auto"/>
        <w:ind w:left="567" w:right="474"/>
        <w:jc w:val="both"/>
        <w:rPr>
          <w:rFonts w:ascii="Arial" w:eastAsia="Calibri" w:hAnsi="Arial" w:cs="Arial"/>
          <w:bCs/>
          <w:szCs w:val="26"/>
        </w:rPr>
      </w:pPr>
      <w:r>
        <w:rPr>
          <w:rFonts w:ascii="Arial" w:eastAsia="Calibri" w:hAnsi="Arial" w:cs="Arial"/>
          <w:b/>
          <w:bCs/>
          <w:szCs w:val="26"/>
        </w:rPr>
        <w:t xml:space="preserve">SEGUNDO.- </w:t>
      </w:r>
      <w:r>
        <w:rPr>
          <w:rFonts w:ascii="Arial" w:eastAsia="Calibri" w:hAnsi="Arial" w:cs="Arial"/>
          <w:bCs/>
          <w:szCs w:val="26"/>
        </w:rPr>
        <w:t xml:space="preserve">La personalidad de la parte actora quedó acredita en autos.- </w:t>
      </w:r>
    </w:p>
    <w:p w14:paraId="062C2FA0" w14:textId="14BE7517" w:rsidR="008D39ED" w:rsidRDefault="008D39ED" w:rsidP="008D39ED">
      <w:pPr>
        <w:spacing w:line="360" w:lineRule="auto"/>
        <w:ind w:left="567" w:right="474"/>
        <w:jc w:val="both"/>
        <w:rPr>
          <w:rFonts w:ascii="Arial" w:eastAsia="Calibri" w:hAnsi="Arial" w:cs="Arial"/>
          <w:bCs/>
          <w:color w:val="000000" w:themeColor="text1"/>
        </w:rPr>
      </w:pPr>
      <w:r>
        <w:rPr>
          <w:rFonts w:ascii="Arial" w:eastAsia="Calibri" w:hAnsi="Arial" w:cs="Arial"/>
          <w:b/>
          <w:bCs/>
          <w:szCs w:val="26"/>
        </w:rPr>
        <w:lastRenderedPageBreak/>
        <w:t>TERCERO.</w:t>
      </w:r>
      <w:r>
        <w:rPr>
          <w:rFonts w:ascii="Arial" w:eastAsia="Calibri" w:hAnsi="Arial" w:cs="Arial"/>
          <w:bCs/>
          <w:color w:val="000000" w:themeColor="text1"/>
        </w:rPr>
        <w:t xml:space="preserve">- Se declara la </w:t>
      </w:r>
      <w:r>
        <w:rPr>
          <w:rFonts w:ascii="Arial" w:eastAsia="Calibri" w:hAnsi="Arial" w:cs="Arial"/>
          <w:b/>
          <w:bCs/>
          <w:color w:val="000000" w:themeColor="text1"/>
        </w:rPr>
        <w:t>nulidad lisa y llana de las órdenes verbales</w:t>
      </w:r>
      <w:r>
        <w:rPr>
          <w:rFonts w:ascii="Arial" w:eastAsia="Calibri" w:hAnsi="Arial" w:cs="Arial"/>
          <w:bCs/>
          <w:color w:val="000000" w:themeColor="text1"/>
        </w:rPr>
        <w:t xml:space="preserve"> de detención del vehículo propiedad del actor, en términos del considerando tercero de la presente sentencia.- - - - - - - - - - - - - - - - - - - - </w:t>
      </w:r>
    </w:p>
    <w:p w14:paraId="13D95C81" w14:textId="6D3E2A9C" w:rsidR="008D39ED" w:rsidRDefault="008D39ED" w:rsidP="008D39ED">
      <w:pPr>
        <w:spacing w:line="360" w:lineRule="auto"/>
        <w:ind w:left="567" w:right="474"/>
        <w:jc w:val="both"/>
        <w:rPr>
          <w:rFonts w:ascii="Arial" w:eastAsia="Calibri" w:hAnsi="Arial" w:cs="Arial"/>
          <w:bCs/>
          <w:color w:val="000000" w:themeColor="text1"/>
        </w:rPr>
      </w:pPr>
      <w:r>
        <w:rPr>
          <w:rFonts w:ascii="Arial" w:eastAsia="Calibri" w:hAnsi="Arial" w:cs="Arial"/>
          <w:b/>
          <w:bCs/>
          <w:szCs w:val="26"/>
        </w:rPr>
        <w:t>CUARTO.</w:t>
      </w:r>
      <w:r>
        <w:rPr>
          <w:rFonts w:ascii="Arial" w:eastAsia="Calibri" w:hAnsi="Arial" w:cs="Arial"/>
          <w:bCs/>
          <w:color w:val="000000" w:themeColor="text1"/>
        </w:rPr>
        <w:t xml:space="preserve">- Se declara la </w:t>
      </w:r>
      <w:r>
        <w:rPr>
          <w:rFonts w:ascii="Arial" w:eastAsia="Calibri" w:hAnsi="Arial" w:cs="Arial"/>
          <w:b/>
          <w:bCs/>
          <w:color w:val="000000" w:themeColor="text1"/>
        </w:rPr>
        <w:t xml:space="preserve">nulidad lisa y llana de la negativa ficta, </w:t>
      </w:r>
      <w:r>
        <w:rPr>
          <w:rFonts w:ascii="Arial" w:eastAsia="Calibri" w:hAnsi="Arial" w:cs="Arial"/>
          <w:bCs/>
          <w:color w:val="000000" w:themeColor="text1"/>
        </w:rPr>
        <w:t xml:space="preserve">respecto de las peticiones hechas el actor, por escritos de fechas 12 doce de abril del 2007 dos mil siete y 29 veintinueve de enero de 2008 dos mil ocho.- - - - - - - - - - - - - - - - - - - - - - - - - - - - - - - - - - - - - - - - - - - - - - - - - - </w:t>
      </w:r>
    </w:p>
    <w:p w14:paraId="5148B46A" w14:textId="4A355BF3" w:rsidR="008D39ED" w:rsidRDefault="008D39ED" w:rsidP="008D39ED">
      <w:pPr>
        <w:spacing w:line="360" w:lineRule="auto"/>
        <w:ind w:left="567" w:right="474"/>
        <w:jc w:val="both"/>
        <w:rPr>
          <w:rFonts w:ascii="Arial" w:eastAsia="Calibri" w:hAnsi="Arial" w:cs="Arial"/>
          <w:bCs/>
          <w:color w:val="000000" w:themeColor="text1"/>
        </w:rPr>
      </w:pPr>
      <w:r>
        <w:rPr>
          <w:rFonts w:ascii="Arial" w:eastAsia="Calibri" w:hAnsi="Arial" w:cs="Arial"/>
          <w:b/>
          <w:bCs/>
          <w:szCs w:val="26"/>
        </w:rPr>
        <w:t>QUINTO.</w:t>
      </w:r>
      <w:r>
        <w:rPr>
          <w:rFonts w:ascii="Arial" w:eastAsia="Calibri" w:hAnsi="Arial" w:cs="Arial"/>
          <w:bCs/>
          <w:color w:val="000000" w:themeColor="text1"/>
        </w:rPr>
        <w:t xml:space="preserve">- Por las razones y fundamentos señalados en el último considerando de la presente resolución, </w:t>
      </w:r>
      <w:r>
        <w:rPr>
          <w:rFonts w:ascii="Arial" w:eastAsia="Calibri" w:hAnsi="Arial" w:cs="Arial"/>
          <w:b/>
          <w:bCs/>
          <w:color w:val="000000" w:themeColor="text1"/>
        </w:rPr>
        <w:t>SE SOBRESEE</w:t>
      </w:r>
      <w:r>
        <w:rPr>
          <w:rFonts w:ascii="Arial" w:eastAsia="Calibri" w:hAnsi="Arial" w:cs="Arial"/>
          <w:bCs/>
          <w:color w:val="000000" w:themeColor="text1"/>
        </w:rPr>
        <w:t xml:space="preserve"> el presente caso.- </w:t>
      </w:r>
    </w:p>
    <w:p w14:paraId="1827CECD" w14:textId="029B4817" w:rsidR="008D39ED" w:rsidRDefault="00F46CE4" w:rsidP="008D39ED">
      <w:pPr>
        <w:spacing w:line="360" w:lineRule="auto"/>
        <w:ind w:left="567" w:right="474"/>
        <w:jc w:val="both"/>
        <w:rPr>
          <w:rFonts w:ascii="Arial" w:eastAsia="Calibri" w:hAnsi="Arial" w:cs="Arial"/>
          <w:bCs/>
          <w:color w:val="000000" w:themeColor="text1"/>
        </w:rPr>
      </w:pPr>
      <w:r>
        <w:rPr>
          <w:rFonts w:ascii="Arial" w:eastAsia="Calibri" w:hAnsi="Arial" w:cs="Arial"/>
          <w:b/>
          <w:bCs/>
          <w:szCs w:val="26"/>
        </w:rPr>
        <w:t>SEXTO.</w:t>
      </w:r>
      <w:r>
        <w:rPr>
          <w:rFonts w:ascii="Arial" w:eastAsia="Calibri" w:hAnsi="Arial" w:cs="Arial"/>
          <w:bCs/>
          <w:color w:val="000000" w:themeColor="text1"/>
        </w:rPr>
        <w:t xml:space="preserve">- Se tiene por recibido en la Oficialía de Partes de este Tribunal, el 5 cinco de octubre de 2017 dos mil diecisiete, el escrito de Ricardo Armando Carrasco López, por el cual se le tiene </w:t>
      </w:r>
      <w:r>
        <w:rPr>
          <w:rFonts w:ascii="Arial" w:eastAsia="Calibri" w:hAnsi="Arial" w:cs="Arial"/>
          <w:b/>
          <w:bCs/>
          <w:color w:val="000000" w:themeColor="text1"/>
        </w:rPr>
        <w:t xml:space="preserve">señalado </w:t>
      </w:r>
      <w:r w:rsidRPr="00F46CE4">
        <w:rPr>
          <w:rFonts w:ascii="Arial" w:eastAsia="Calibri" w:hAnsi="Arial" w:cs="Arial"/>
          <w:b/>
          <w:bCs/>
          <w:color w:val="000000" w:themeColor="text1"/>
        </w:rPr>
        <w:t>domicilio</w:t>
      </w:r>
      <w:r>
        <w:rPr>
          <w:rFonts w:ascii="Arial" w:eastAsia="Calibri" w:hAnsi="Arial" w:cs="Arial"/>
          <w:b/>
          <w:bCs/>
          <w:i/>
          <w:color w:val="000000" w:themeColor="text1"/>
        </w:rPr>
        <w:t xml:space="preserve"> para recibir sus notificaciones</w:t>
      </w:r>
      <w:r>
        <w:rPr>
          <w:rFonts w:ascii="Arial" w:eastAsia="Calibri" w:hAnsi="Arial" w:cs="Arial"/>
          <w:bCs/>
          <w:i/>
          <w:color w:val="000000" w:themeColor="text1"/>
        </w:rPr>
        <w:t xml:space="preserve"> el que indica en su escrito de cuenta </w:t>
      </w:r>
      <w:r>
        <w:rPr>
          <w:rFonts w:ascii="Arial" w:eastAsia="Calibri" w:hAnsi="Arial" w:cs="Arial"/>
          <w:bCs/>
          <w:color w:val="000000" w:themeColor="text1"/>
        </w:rPr>
        <w:t xml:space="preserve">y por autorizadas a las personas que menciona quienes únicamente podrán recibir notificaciones e imponerse de los autos, virtud de que no acreditan ante esta sala que cuenten con cédula de licenciados en derecho y que dichos documentos se encuentren registrados en el Libro de Registro de Títulos y Cédulas de Licenciados en Derecho del índice de la Secretaria General de Acuerdos a este Tribunal, lo </w:t>
      </w:r>
      <w:r w:rsidR="002F1074">
        <w:rPr>
          <w:rFonts w:ascii="Arial" w:eastAsia="Calibri" w:hAnsi="Arial" w:cs="Arial"/>
          <w:bCs/>
          <w:color w:val="000000" w:themeColor="text1"/>
        </w:rPr>
        <w:t xml:space="preserve">anterior con fundamento en los artículos 117 último párrafo, a141 párrafo tercero de la Ley de Justicia Administrativa para el Estado de Oaxaca, 34 fracciones VIII, XXII y 83 del Reglamento Interno de este Tribunal.- - - - - - - - - - - - - - - - - - - - - - - - - - - </w:t>
      </w:r>
    </w:p>
    <w:p w14:paraId="23747E3E" w14:textId="6CAF9153" w:rsidR="005852AB" w:rsidRDefault="005852AB" w:rsidP="008D39ED">
      <w:pPr>
        <w:spacing w:line="360" w:lineRule="auto"/>
        <w:ind w:left="567" w:right="474"/>
        <w:jc w:val="both"/>
        <w:rPr>
          <w:rFonts w:ascii="Arial" w:eastAsia="Calibri" w:hAnsi="Arial" w:cs="Arial"/>
          <w:bCs/>
          <w:color w:val="000000" w:themeColor="text1"/>
        </w:rPr>
      </w:pPr>
      <w:r>
        <w:rPr>
          <w:rFonts w:ascii="Arial" w:eastAsia="Calibri" w:hAnsi="Arial" w:cs="Arial"/>
          <w:b/>
          <w:bCs/>
          <w:szCs w:val="26"/>
        </w:rPr>
        <w:t>SÉPTIMO.</w:t>
      </w:r>
      <w:r>
        <w:rPr>
          <w:rFonts w:ascii="Arial" w:eastAsia="Calibri" w:hAnsi="Arial" w:cs="Arial"/>
          <w:bCs/>
          <w:color w:val="000000" w:themeColor="text1"/>
        </w:rPr>
        <w:t xml:space="preserve">- Conforme a lo dispuesto en los artículos 142, fracción I, y 143, fracciones I y II, de la ley de Justicia Administrativa para el Estado. NOTIFIQUESE PERSONALMENTE A LA PARTE ACTORA Y POR OFICIO A LAS AUTORIDADES DEMANDADAS. CUMPLASE. </w:t>
      </w:r>
    </w:p>
    <w:p w14:paraId="1A294B5C" w14:textId="77777777" w:rsidR="002F1074" w:rsidRPr="00F46CE4" w:rsidRDefault="002F1074" w:rsidP="002F1074">
      <w:pPr>
        <w:spacing w:line="360" w:lineRule="auto"/>
        <w:ind w:right="474"/>
        <w:jc w:val="both"/>
        <w:rPr>
          <w:rFonts w:ascii="Arial" w:eastAsia="Calibri" w:hAnsi="Arial" w:cs="Arial"/>
          <w:bCs/>
          <w:color w:val="000000" w:themeColor="text1"/>
        </w:rPr>
      </w:pPr>
    </w:p>
    <w:p w14:paraId="560E4AE0" w14:textId="7D5B6749" w:rsidR="00950A2C" w:rsidRDefault="00950A2C" w:rsidP="00950A2C">
      <w:pPr>
        <w:spacing w:line="360" w:lineRule="auto"/>
        <w:jc w:val="center"/>
        <w:rPr>
          <w:rFonts w:ascii="Arial" w:hAnsi="Arial" w:cs="Arial"/>
          <w:b/>
          <w:bCs/>
          <w:sz w:val="26"/>
          <w:szCs w:val="26"/>
        </w:rPr>
      </w:pPr>
      <w:r>
        <w:rPr>
          <w:rFonts w:ascii="Arial" w:hAnsi="Arial" w:cs="Arial"/>
          <w:b/>
          <w:bCs/>
          <w:sz w:val="26"/>
          <w:szCs w:val="26"/>
        </w:rPr>
        <w:t>C O N S I D E R A N D O:</w:t>
      </w:r>
    </w:p>
    <w:p w14:paraId="2666FCEA" w14:textId="77777777" w:rsidR="005852AB" w:rsidRDefault="005852AB" w:rsidP="00C26787">
      <w:pPr>
        <w:spacing w:line="360" w:lineRule="auto"/>
        <w:ind w:left="567" w:right="474"/>
        <w:jc w:val="both"/>
        <w:rPr>
          <w:rFonts w:ascii="Arial" w:eastAsia="Calibri" w:hAnsi="Arial" w:cs="Arial"/>
          <w:b/>
          <w:bCs/>
          <w:color w:val="000000" w:themeColor="text1"/>
        </w:rPr>
      </w:pPr>
    </w:p>
    <w:p w14:paraId="28BF3C9F" w14:textId="5AF11C90" w:rsidR="005852AB" w:rsidRPr="00D36689" w:rsidRDefault="00950A2C" w:rsidP="00D36689">
      <w:pPr>
        <w:spacing w:line="360" w:lineRule="auto"/>
        <w:ind w:firstLine="708"/>
        <w:jc w:val="both"/>
        <w:rPr>
          <w:rFonts w:ascii="Arial" w:hAnsi="Arial" w:cs="Arial"/>
          <w:b/>
          <w:bCs/>
          <w:iCs/>
          <w:sz w:val="26"/>
          <w:szCs w:val="26"/>
          <w:lang w:eastAsia="es-ES"/>
        </w:rPr>
      </w:pPr>
      <w:r w:rsidRPr="00626EFC">
        <w:rPr>
          <w:rFonts w:ascii="Arial" w:hAnsi="Arial" w:cs="Arial"/>
          <w:b/>
          <w:bCs/>
          <w:iCs/>
          <w:sz w:val="26"/>
          <w:szCs w:val="26"/>
          <w:lang w:eastAsia="es-ES"/>
        </w:rPr>
        <w:t>PRIMERO.-</w:t>
      </w:r>
      <w:r>
        <w:rPr>
          <w:rFonts w:ascii="Arial" w:hAnsi="Arial" w:cs="Arial"/>
          <w:bCs/>
          <w:iCs/>
          <w:sz w:val="26"/>
          <w:szCs w:val="26"/>
          <w:lang w:eastAsia="es-ES"/>
        </w:rPr>
        <w:t xml:space="preserve"> </w:t>
      </w:r>
      <w:r w:rsidR="00E10CAA" w:rsidRPr="00B23FC1">
        <w:rPr>
          <w:rFonts w:ascii="Arial" w:eastAsia="Calibri" w:hAnsi="Arial" w:cs="Arial"/>
          <w:bCs/>
          <w:iCs/>
          <w:sz w:val="26"/>
          <w:szCs w:val="26"/>
          <w:lang w:eastAsia="es-ES"/>
        </w:rPr>
        <w:t>Esta Sala Superior</w:t>
      </w:r>
      <w:r w:rsidR="00E10CAA" w:rsidRPr="00B23FC1">
        <w:rPr>
          <w:rFonts w:ascii="Arial" w:eastAsia="Calibri" w:hAnsi="Arial" w:cs="Arial"/>
          <w:b/>
          <w:bCs/>
          <w:iCs/>
          <w:sz w:val="26"/>
          <w:szCs w:val="26"/>
          <w:lang w:eastAsia="es-ES"/>
        </w:rPr>
        <w:t xml:space="preserve"> </w:t>
      </w:r>
      <w:r w:rsidR="00E10CAA"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Pr>
          <w:rFonts w:ascii="Arial" w:hAnsi="Arial" w:cs="Arial"/>
          <w:bCs/>
          <w:iCs/>
          <w:sz w:val="26"/>
          <w:szCs w:val="26"/>
          <w:lang w:eastAsia="es-ES"/>
        </w:rPr>
        <w:t xml:space="preserve"> dado que se trata de un Recurso de Revisión interpuesto en contra de la sentencia de</w:t>
      </w:r>
      <w:r w:rsidR="00BE5D70">
        <w:rPr>
          <w:rFonts w:ascii="Arial" w:hAnsi="Arial" w:cs="Arial"/>
          <w:bCs/>
          <w:iCs/>
          <w:sz w:val="26"/>
          <w:szCs w:val="26"/>
          <w:lang w:eastAsia="es-ES"/>
        </w:rPr>
        <w:t xml:space="preserve"> </w:t>
      </w:r>
      <w:r w:rsidR="005F62FE">
        <w:rPr>
          <w:rFonts w:ascii="Arial" w:hAnsi="Arial" w:cs="Arial"/>
          <w:bCs/>
          <w:iCs/>
          <w:sz w:val="26"/>
          <w:szCs w:val="26"/>
          <w:lang w:eastAsia="es-ES"/>
        </w:rPr>
        <w:t xml:space="preserve">29 </w:t>
      </w:r>
      <w:r w:rsidR="00BE5D70">
        <w:rPr>
          <w:rFonts w:ascii="Arial" w:hAnsi="Arial" w:cs="Arial"/>
          <w:bCs/>
          <w:iCs/>
          <w:sz w:val="26"/>
          <w:szCs w:val="26"/>
          <w:lang w:eastAsia="es-ES"/>
        </w:rPr>
        <w:t>veintinueve de enero de</w:t>
      </w:r>
      <w:r w:rsidR="005F62FE">
        <w:rPr>
          <w:rFonts w:ascii="Arial" w:hAnsi="Arial" w:cs="Arial"/>
          <w:bCs/>
          <w:iCs/>
          <w:sz w:val="26"/>
          <w:szCs w:val="26"/>
          <w:lang w:eastAsia="es-ES"/>
        </w:rPr>
        <w:t xml:space="preserve"> 2018</w:t>
      </w:r>
      <w:r w:rsidR="00BE5D70">
        <w:rPr>
          <w:rFonts w:ascii="Arial" w:hAnsi="Arial" w:cs="Arial"/>
          <w:bCs/>
          <w:iCs/>
          <w:sz w:val="26"/>
          <w:szCs w:val="26"/>
          <w:lang w:eastAsia="es-ES"/>
        </w:rPr>
        <w:t xml:space="preserve"> dos mil dieciocho</w:t>
      </w:r>
      <w:r>
        <w:rPr>
          <w:rFonts w:ascii="Arial" w:hAnsi="Arial" w:cs="Arial"/>
          <w:bCs/>
          <w:iCs/>
          <w:sz w:val="26"/>
          <w:szCs w:val="26"/>
          <w:lang w:eastAsia="es-ES"/>
        </w:rPr>
        <w:t xml:space="preserve">, </w:t>
      </w:r>
      <w:r w:rsidR="00D36689">
        <w:rPr>
          <w:rFonts w:ascii="Arial" w:hAnsi="Arial" w:cs="Arial"/>
          <w:bCs/>
          <w:iCs/>
          <w:sz w:val="26"/>
          <w:szCs w:val="26"/>
          <w:lang w:eastAsia="es-ES"/>
        </w:rPr>
        <w:t xml:space="preserve">mismo que fue </w:t>
      </w:r>
      <w:r>
        <w:rPr>
          <w:rFonts w:ascii="Arial" w:hAnsi="Arial" w:cs="Arial"/>
          <w:bCs/>
          <w:iCs/>
          <w:sz w:val="26"/>
          <w:szCs w:val="26"/>
          <w:lang w:eastAsia="es-ES"/>
        </w:rPr>
        <w:t xml:space="preserve">iniciado el </w:t>
      </w:r>
      <w:r w:rsidR="005F62FE">
        <w:rPr>
          <w:rFonts w:ascii="Arial" w:hAnsi="Arial" w:cs="Arial"/>
          <w:bCs/>
          <w:iCs/>
          <w:sz w:val="26"/>
          <w:szCs w:val="26"/>
          <w:lang w:eastAsia="es-ES"/>
        </w:rPr>
        <w:t xml:space="preserve">27 </w:t>
      </w:r>
      <w:r>
        <w:rPr>
          <w:rFonts w:ascii="Arial" w:hAnsi="Arial" w:cs="Arial"/>
          <w:bCs/>
          <w:iCs/>
          <w:sz w:val="26"/>
          <w:szCs w:val="26"/>
          <w:lang w:eastAsia="es-ES"/>
        </w:rPr>
        <w:t xml:space="preserve">veintisiete de agosto de </w:t>
      </w:r>
      <w:r w:rsidR="005F62FE">
        <w:rPr>
          <w:rFonts w:ascii="Arial" w:hAnsi="Arial" w:cs="Arial"/>
          <w:bCs/>
          <w:iCs/>
          <w:sz w:val="26"/>
          <w:szCs w:val="26"/>
          <w:lang w:eastAsia="es-ES"/>
        </w:rPr>
        <w:t xml:space="preserve">2015 </w:t>
      </w:r>
      <w:r>
        <w:rPr>
          <w:rFonts w:ascii="Arial" w:hAnsi="Arial" w:cs="Arial"/>
          <w:bCs/>
          <w:iCs/>
          <w:sz w:val="26"/>
          <w:szCs w:val="26"/>
          <w:lang w:eastAsia="es-ES"/>
        </w:rPr>
        <w:t xml:space="preserve">dos mil quince,  </w:t>
      </w:r>
      <w:r w:rsidRPr="00714274">
        <w:rPr>
          <w:rFonts w:ascii="Arial" w:hAnsi="Arial" w:cs="Arial"/>
          <w:bCs/>
          <w:iCs/>
          <w:sz w:val="26"/>
          <w:szCs w:val="26"/>
          <w:highlight w:val="yellow"/>
          <w:lang w:eastAsia="es-ES"/>
        </w:rPr>
        <w:t>dictada</w:t>
      </w:r>
      <w:r>
        <w:rPr>
          <w:rFonts w:ascii="Arial" w:hAnsi="Arial" w:cs="Arial"/>
          <w:bCs/>
          <w:iCs/>
          <w:sz w:val="26"/>
          <w:szCs w:val="26"/>
          <w:lang w:eastAsia="es-ES"/>
        </w:rPr>
        <w:t xml:space="preserve"> por la Magistrada de la Tercera Sala Unitaria de Primera Instancia de este Tribunal en el juicio </w:t>
      </w:r>
      <w:r>
        <w:rPr>
          <w:rFonts w:ascii="Arial" w:hAnsi="Arial" w:cs="Arial"/>
          <w:b/>
          <w:bCs/>
          <w:iCs/>
          <w:sz w:val="26"/>
          <w:szCs w:val="26"/>
          <w:lang w:eastAsia="es-ES"/>
        </w:rPr>
        <w:t>0325/2016.</w:t>
      </w:r>
    </w:p>
    <w:p w14:paraId="436F63F0" w14:textId="2D874489" w:rsidR="005F62FE" w:rsidRDefault="00EF1CA2" w:rsidP="005F62FE">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14:paraId="2ECF31F4" w14:textId="107D2F2B" w:rsidR="003D3158" w:rsidRPr="001F306A" w:rsidRDefault="005F62FE" w:rsidP="0020432E">
      <w:pPr>
        <w:pStyle w:val="Sinespaciado"/>
        <w:spacing w:before="240" w:line="360" w:lineRule="auto"/>
        <w:ind w:firstLine="708"/>
        <w:jc w:val="both"/>
        <w:rPr>
          <w:rFonts w:ascii="Arial" w:hAnsi="Arial" w:cs="Arial"/>
          <w:bCs/>
          <w:color w:val="000000"/>
          <w:lang w:val="es-MX"/>
        </w:rPr>
      </w:pPr>
      <w:r>
        <w:rPr>
          <w:rFonts w:ascii="Arial" w:eastAsia="Calibri" w:hAnsi="Arial" w:cs="Arial"/>
          <w:b/>
          <w:bCs/>
          <w:sz w:val="26"/>
          <w:szCs w:val="26"/>
        </w:rPr>
        <w:t>TERCERO</w:t>
      </w:r>
      <w:r w:rsidR="00EF1CA2" w:rsidRPr="00C16F73">
        <w:rPr>
          <w:rFonts w:ascii="Arial" w:eastAsia="Calibri" w:hAnsi="Arial" w:cs="Arial"/>
          <w:bCs/>
          <w:sz w:val="26"/>
          <w:szCs w:val="26"/>
        </w:rPr>
        <w:t xml:space="preserve">. </w:t>
      </w:r>
      <w:r w:rsidR="003D3158" w:rsidRPr="00C16F73">
        <w:rPr>
          <w:rFonts w:ascii="Arial" w:eastAsia="Calibri" w:hAnsi="Arial" w:cs="Arial"/>
          <w:bCs/>
          <w:sz w:val="26"/>
          <w:szCs w:val="26"/>
        </w:rPr>
        <w:t xml:space="preserve">Señala el recurrente que le causa </w:t>
      </w:r>
      <w:r w:rsidR="003D3158" w:rsidRPr="00C16F73">
        <w:rPr>
          <w:rFonts w:ascii="Arial" w:hAnsi="Arial" w:cs="Arial"/>
          <w:bCs/>
          <w:color w:val="000000"/>
          <w:sz w:val="26"/>
          <w:szCs w:val="26"/>
          <w:lang w:val="es-MX"/>
        </w:rPr>
        <w:t>agravios la sentencia de veintinueve de enero de dos mil dieciocho, en la cual por una pa</w:t>
      </w:r>
      <w:r w:rsidR="00D36689" w:rsidRPr="00C16F73">
        <w:rPr>
          <w:rFonts w:ascii="Arial" w:hAnsi="Arial" w:cs="Arial"/>
          <w:bCs/>
          <w:color w:val="000000"/>
          <w:sz w:val="26"/>
          <w:szCs w:val="26"/>
          <w:lang w:val="es-MX"/>
        </w:rPr>
        <w:t>rte</w:t>
      </w:r>
      <w:r w:rsidR="00D36689">
        <w:rPr>
          <w:rFonts w:ascii="Arial" w:hAnsi="Arial" w:cs="Arial"/>
          <w:bCs/>
          <w:color w:val="000000"/>
          <w:sz w:val="26"/>
          <w:szCs w:val="26"/>
          <w:lang w:val="es-MX"/>
        </w:rPr>
        <w:t xml:space="preserve"> se declara la nulidad lisa  de la</w:t>
      </w:r>
      <w:r w:rsidR="003D3158">
        <w:rPr>
          <w:rFonts w:ascii="Arial" w:hAnsi="Arial" w:cs="Arial"/>
          <w:bCs/>
          <w:color w:val="000000"/>
          <w:sz w:val="26"/>
          <w:szCs w:val="26"/>
          <w:lang w:val="es-MX"/>
        </w:rPr>
        <w:t xml:space="preserve"> negativa ficta impugnada y por otra</w:t>
      </w:r>
      <w:r w:rsidR="00D36689">
        <w:rPr>
          <w:rFonts w:ascii="Arial" w:hAnsi="Arial" w:cs="Arial"/>
          <w:bCs/>
          <w:color w:val="000000"/>
          <w:sz w:val="26"/>
          <w:szCs w:val="26"/>
          <w:lang w:val="es-MX"/>
        </w:rPr>
        <w:t xml:space="preserve"> parte se</w:t>
      </w:r>
      <w:r w:rsidR="003D3158">
        <w:rPr>
          <w:rFonts w:ascii="Arial" w:hAnsi="Arial" w:cs="Arial"/>
          <w:bCs/>
          <w:color w:val="000000"/>
          <w:sz w:val="26"/>
          <w:szCs w:val="26"/>
          <w:lang w:val="es-MX"/>
        </w:rPr>
        <w:t xml:space="preserve"> sobresee el juicio,</w:t>
      </w:r>
      <w:r w:rsidR="00D36689">
        <w:rPr>
          <w:rFonts w:ascii="Arial" w:hAnsi="Arial" w:cs="Arial"/>
          <w:bCs/>
          <w:color w:val="000000"/>
          <w:sz w:val="26"/>
          <w:szCs w:val="26"/>
          <w:lang w:val="es-MX"/>
        </w:rPr>
        <w:t xml:space="preserve"> que </w:t>
      </w:r>
      <w:r w:rsidR="003D3158">
        <w:rPr>
          <w:rFonts w:ascii="Arial" w:hAnsi="Arial" w:cs="Arial"/>
          <w:bCs/>
          <w:color w:val="000000"/>
          <w:sz w:val="26"/>
          <w:szCs w:val="26"/>
          <w:lang w:val="es-MX"/>
        </w:rPr>
        <w:t xml:space="preserve"> con ello se viola el artículo 177 de la Ley de Justicia Administrativa del Estado, toda vez que</w:t>
      </w:r>
      <w:r w:rsidR="0020432E">
        <w:rPr>
          <w:rFonts w:ascii="Arial" w:hAnsi="Arial" w:cs="Arial"/>
          <w:bCs/>
          <w:color w:val="000000"/>
          <w:sz w:val="26"/>
          <w:szCs w:val="26"/>
          <w:lang w:val="es-MX"/>
        </w:rPr>
        <w:t xml:space="preserve">  en sus fracciones I, II y III, determina: </w:t>
      </w:r>
      <w:r w:rsidR="0020432E" w:rsidRPr="001F306A">
        <w:rPr>
          <w:rFonts w:ascii="Arial" w:hAnsi="Arial" w:cs="Arial"/>
          <w:bCs/>
          <w:color w:val="000000"/>
          <w:lang w:val="es-MX"/>
        </w:rPr>
        <w:t>“</w:t>
      </w:r>
      <w:r w:rsidR="003D3158" w:rsidRPr="001F306A">
        <w:rPr>
          <w:rFonts w:ascii="Arial" w:hAnsi="Arial" w:cs="Arial"/>
          <w:bCs/>
          <w:color w:val="000000"/>
          <w:lang w:val="es-MX"/>
        </w:rPr>
        <w:t xml:space="preserve">La fijación clara y precisa de los puntos controvertidos, la exposición de las razones por las que, en su caso, se haga uso de la facultad para suplir la deficiencia de la queja, </w:t>
      </w:r>
      <w:r w:rsidR="003D3158" w:rsidRPr="001F306A">
        <w:rPr>
          <w:rFonts w:ascii="Arial" w:hAnsi="Arial" w:cs="Arial"/>
          <w:b/>
          <w:bCs/>
          <w:color w:val="000000"/>
          <w:lang w:val="es-MX"/>
        </w:rPr>
        <w:t>así como el examen y valoración de las pruebas que se hayan rendido; La exposición debidamente fundada y motivada de las consideraciones en que se basa la resolución, y:</w:t>
      </w:r>
      <w:r w:rsidR="0020432E" w:rsidRPr="001F306A">
        <w:rPr>
          <w:rFonts w:ascii="Arial" w:hAnsi="Arial" w:cs="Arial"/>
          <w:bCs/>
          <w:color w:val="000000"/>
          <w:lang w:val="es-MX"/>
        </w:rPr>
        <w:t xml:space="preserve"> </w:t>
      </w:r>
      <w:r w:rsidR="003D3158" w:rsidRPr="001F306A">
        <w:rPr>
          <w:rFonts w:ascii="Arial" w:hAnsi="Arial" w:cs="Arial"/>
          <w:bCs/>
          <w:color w:val="000000"/>
          <w:lang w:val="es-MX"/>
        </w:rPr>
        <w:t>Los puntos resolutivos, los que se expresarán los actos o resoluciones cuya validez se reconozca o cuya nulidad se declare.</w:t>
      </w:r>
      <w:r w:rsidR="0020432E" w:rsidRPr="001F306A">
        <w:rPr>
          <w:rFonts w:ascii="Arial" w:hAnsi="Arial" w:cs="Arial"/>
          <w:bCs/>
          <w:color w:val="000000"/>
          <w:lang w:val="es-MX"/>
        </w:rPr>
        <w:t>”</w:t>
      </w:r>
    </w:p>
    <w:p w14:paraId="5DBC2E7D" w14:textId="4B0838C6" w:rsidR="003D3158" w:rsidRDefault="0020432E"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r>
      <w:r w:rsidR="001F306A">
        <w:rPr>
          <w:rFonts w:ascii="Arial" w:hAnsi="Arial" w:cs="Arial"/>
          <w:bCs/>
          <w:color w:val="000000"/>
          <w:sz w:val="26"/>
          <w:szCs w:val="26"/>
          <w:lang w:val="es-MX"/>
        </w:rPr>
        <w:t xml:space="preserve"> Refiere que ese precepto legal</w:t>
      </w:r>
      <w:r>
        <w:rPr>
          <w:rFonts w:ascii="Arial" w:hAnsi="Arial" w:cs="Arial"/>
          <w:bCs/>
          <w:color w:val="000000"/>
          <w:sz w:val="26"/>
          <w:szCs w:val="26"/>
          <w:lang w:val="es-MX"/>
        </w:rPr>
        <w:t xml:space="preserve"> </w:t>
      </w:r>
      <w:r w:rsidR="003D3158">
        <w:rPr>
          <w:rFonts w:ascii="Arial" w:hAnsi="Arial" w:cs="Arial"/>
          <w:bCs/>
          <w:color w:val="000000"/>
          <w:sz w:val="26"/>
          <w:szCs w:val="26"/>
          <w:lang w:val="es-MX"/>
        </w:rPr>
        <w:t xml:space="preserve">consagra el </w:t>
      </w:r>
      <w:r w:rsidR="003D3158">
        <w:rPr>
          <w:rFonts w:ascii="Arial" w:hAnsi="Arial" w:cs="Arial"/>
          <w:b/>
          <w:bCs/>
          <w:color w:val="000000"/>
          <w:sz w:val="26"/>
          <w:szCs w:val="26"/>
          <w:lang w:val="es-MX"/>
        </w:rPr>
        <w:t>PRINCIPIO DE CONGRUENCIA PROCESAL y DE SENTENCIAS</w:t>
      </w:r>
      <w:r w:rsidR="003D3158">
        <w:rPr>
          <w:rFonts w:ascii="Arial" w:hAnsi="Arial" w:cs="Arial"/>
          <w:bCs/>
          <w:color w:val="000000"/>
          <w:sz w:val="26"/>
          <w:szCs w:val="26"/>
          <w:lang w:val="es-MX"/>
        </w:rPr>
        <w:t xml:space="preserve"> en los Juicios de Nulidad mediante el cual el Juzgador de conocimiento está obligado </w:t>
      </w:r>
      <w:r w:rsidR="003D3158">
        <w:rPr>
          <w:rFonts w:ascii="Arial" w:hAnsi="Arial" w:cs="Arial"/>
          <w:b/>
          <w:bCs/>
          <w:color w:val="000000"/>
          <w:sz w:val="26"/>
          <w:szCs w:val="26"/>
          <w:lang w:val="es-MX"/>
        </w:rPr>
        <w:t xml:space="preserve">a suplir la deficiencia de la queja al actor, fijar en forma clara y precisa los puntos controvertidos, EXAMINAR y VALORAR ADECUADAMENTE las pruebas que se hayan rendido, </w:t>
      </w:r>
      <w:r w:rsidR="003D3158">
        <w:rPr>
          <w:rFonts w:ascii="Arial" w:hAnsi="Arial" w:cs="Arial"/>
          <w:bCs/>
          <w:color w:val="000000"/>
          <w:sz w:val="26"/>
          <w:szCs w:val="26"/>
          <w:lang w:val="es-MX"/>
        </w:rPr>
        <w:t>así como aquéllas para demostrar su nulidad.</w:t>
      </w:r>
    </w:p>
    <w:p w14:paraId="17504AE1" w14:textId="509AEAB8" w:rsidR="003D3158" w:rsidRDefault="00C673CD"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 </w:t>
      </w:r>
      <w:r>
        <w:rPr>
          <w:rFonts w:ascii="Arial" w:hAnsi="Arial" w:cs="Arial"/>
          <w:bCs/>
          <w:color w:val="000000"/>
          <w:sz w:val="26"/>
          <w:szCs w:val="26"/>
          <w:lang w:val="es-MX"/>
        </w:rPr>
        <w:tab/>
      </w:r>
      <w:r w:rsidR="001F306A">
        <w:rPr>
          <w:rFonts w:ascii="Arial" w:hAnsi="Arial" w:cs="Arial"/>
          <w:bCs/>
          <w:color w:val="000000"/>
          <w:sz w:val="26"/>
          <w:szCs w:val="26"/>
          <w:lang w:val="es-MX"/>
        </w:rPr>
        <w:t xml:space="preserve">Además que </w:t>
      </w:r>
      <w:r w:rsidR="00085964">
        <w:rPr>
          <w:rFonts w:ascii="Arial" w:hAnsi="Arial" w:cs="Arial"/>
          <w:bCs/>
          <w:color w:val="000000"/>
          <w:sz w:val="26"/>
          <w:szCs w:val="26"/>
          <w:lang w:val="es-MX"/>
        </w:rPr>
        <w:t xml:space="preserve">la primera instancia le dio </w:t>
      </w:r>
      <w:r w:rsidR="003D3158">
        <w:rPr>
          <w:rFonts w:ascii="Arial" w:hAnsi="Arial" w:cs="Arial"/>
          <w:bCs/>
          <w:color w:val="000000"/>
          <w:sz w:val="26"/>
          <w:szCs w:val="26"/>
          <w:lang w:val="es-MX"/>
        </w:rPr>
        <w:t xml:space="preserve">valor probatorio pleno al tenor de lo dispuesto por el artículo 173 de la </w:t>
      </w:r>
      <w:r w:rsidR="00714274">
        <w:rPr>
          <w:rFonts w:ascii="Arial" w:hAnsi="Arial" w:cs="Arial"/>
          <w:bCs/>
          <w:color w:val="000000"/>
          <w:sz w:val="26"/>
          <w:szCs w:val="26"/>
          <w:lang w:val="es-MX"/>
        </w:rPr>
        <w:t xml:space="preserve">citada </w:t>
      </w:r>
      <w:r w:rsidR="003D3158">
        <w:rPr>
          <w:rFonts w:ascii="Arial" w:hAnsi="Arial" w:cs="Arial"/>
          <w:bCs/>
          <w:color w:val="000000"/>
          <w:sz w:val="26"/>
          <w:szCs w:val="26"/>
          <w:lang w:val="es-MX"/>
        </w:rPr>
        <w:t>Ley de Justicia Administrativa del Estado,</w:t>
      </w:r>
      <w:r w:rsidR="00085964">
        <w:rPr>
          <w:rFonts w:ascii="Arial" w:hAnsi="Arial" w:cs="Arial"/>
          <w:bCs/>
          <w:color w:val="000000"/>
          <w:sz w:val="26"/>
          <w:szCs w:val="26"/>
          <w:lang w:val="es-MX"/>
        </w:rPr>
        <w:t xml:space="preserve"> a las constancias que obran en autos</w:t>
      </w:r>
      <w:r w:rsidR="003D3158">
        <w:rPr>
          <w:rFonts w:ascii="Arial" w:hAnsi="Arial" w:cs="Arial"/>
          <w:b/>
          <w:bCs/>
          <w:color w:val="000000"/>
          <w:sz w:val="26"/>
          <w:szCs w:val="26"/>
          <w:lang w:val="es-MX"/>
        </w:rPr>
        <w:t>;</w:t>
      </w:r>
      <w:r w:rsidR="003D3158">
        <w:rPr>
          <w:rFonts w:ascii="Arial" w:hAnsi="Arial" w:cs="Arial"/>
          <w:bCs/>
          <w:color w:val="000000"/>
          <w:sz w:val="26"/>
          <w:szCs w:val="26"/>
          <w:lang w:val="es-MX"/>
        </w:rPr>
        <w:t xml:space="preserve"> </w:t>
      </w:r>
      <w:r w:rsidR="00085964">
        <w:rPr>
          <w:rFonts w:ascii="Arial" w:hAnsi="Arial" w:cs="Arial"/>
          <w:bCs/>
          <w:color w:val="000000"/>
          <w:sz w:val="26"/>
          <w:szCs w:val="26"/>
          <w:lang w:val="es-MX"/>
        </w:rPr>
        <w:t xml:space="preserve">y que al haber sido </w:t>
      </w:r>
      <w:r w:rsidR="003D3158">
        <w:rPr>
          <w:rFonts w:ascii="Arial" w:hAnsi="Arial" w:cs="Arial"/>
          <w:bCs/>
          <w:color w:val="000000"/>
          <w:sz w:val="26"/>
          <w:szCs w:val="26"/>
          <w:lang w:val="es-MX"/>
        </w:rPr>
        <w:t>anali</w:t>
      </w:r>
      <w:r w:rsidR="00085964">
        <w:rPr>
          <w:rFonts w:ascii="Arial" w:hAnsi="Arial" w:cs="Arial"/>
          <w:bCs/>
          <w:color w:val="000000"/>
          <w:sz w:val="26"/>
          <w:szCs w:val="26"/>
          <w:lang w:val="es-MX"/>
        </w:rPr>
        <w:t>zadas en su integridad con</w:t>
      </w:r>
      <w:r w:rsidR="005F62FE">
        <w:rPr>
          <w:rFonts w:ascii="Arial" w:hAnsi="Arial" w:cs="Arial"/>
          <w:bCs/>
          <w:color w:val="000000"/>
          <w:sz w:val="26"/>
          <w:szCs w:val="26"/>
          <w:lang w:val="es-MX"/>
        </w:rPr>
        <w:t xml:space="preserve"> </w:t>
      </w:r>
      <w:r w:rsidR="00085964">
        <w:rPr>
          <w:rFonts w:ascii="Arial" w:hAnsi="Arial" w:cs="Arial"/>
          <w:bCs/>
          <w:color w:val="000000"/>
          <w:sz w:val="26"/>
          <w:szCs w:val="26"/>
          <w:lang w:val="es-MX"/>
        </w:rPr>
        <w:t>llevaron a determinar con razonamiento</w:t>
      </w:r>
      <w:r w:rsidR="003D3158">
        <w:rPr>
          <w:rFonts w:ascii="Arial" w:hAnsi="Arial" w:cs="Arial"/>
          <w:bCs/>
          <w:color w:val="000000"/>
          <w:sz w:val="26"/>
          <w:szCs w:val="26"/>
          <w:lang w:val="es-MX"/>
        </w:rPr>
        <w:t xml:space="preserve"> incorrecto y por ende ilegal, ya que omitió analizar la </w:t>
      </w:r>
      <w:r w:rsidR="003D3158">
        <w:rPr>
          <w:rFonts w:ascii="Arial" w:hAnsi="Arial" w:cs="Arial"/>
          <w:b/>
          <w:bCs/>
          <w:color w:val="000000"/>
          <w:sz w:val="26"/>
          <w:szCs w:val="26"/>
          <w:lang w:val="es-MX"/>
        </w:rPr>
        <w:t>DEMANDA,</w:t>
      </w:r>
      <w:r w:rsidR="003D3158">
        <w:rPr>
          <w:rFonts w:ascii="Arial" w:hAnsi="Arial" w:cs="Arial"/>
          <w:bCs/>
          <w:color w:val="000000"/>
          <w:sz w:val="26"/>
          <w:szCs w:val="26"/>
          <w:lang w:val="es-MX"/>
        </w:rPr>
        <w:t xml:space="preserve"> su </w:t>
      </w:r>
      <w:r w:rsidR="003D3158">
        <w:rPr>
          <w:rFonts w:ascii="Arial" w:hAnsi="Arial" w:cs="Arial"/>
          <w:b/>
          <w:bCs/>
          <w:color w:val="000000"/>
          <w:sz w:val="26"/>
          <w:szCs w:val="26"/>
          <w:lang w:val="es-MX"/>
        </w:rPr>
        <w:t xml:space="preserve">CONTESTACIÓN Y LAS PRUEBAS </w:t>
      </w:r>
      <w:r w:rsidR="003D3158">
        <w:rPr>
          <w:rFonts w:ascii="Arial" w:hAnsi="Arial" w:cs="Arial"/>
          <w:bCs/>
          <w:color w:val="000000"/>
          <w:sz w:val="26"/>
          <w:szCs w:val="26"/>
          <w:lang w:val="es-MX"/>
        </w:rPr>
        <w:t>como un todo, siendo que era su obligación hacerlo.</w:t>
      </w:r>
    </w:p>
    <w:p w14:paraId="7E554891" w14:textId="3ABFCCDD" w:rsidR="003D3158" w:rsidRDefault="00085964"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Que de m</w:t>
      </w:r>
      <w:r w:rsidR="003D3158">
        <w:rPr>
          <w:rFonts w:ascii="Arial" w:hAnsi="Arial" w:cs="Arial"/>
          <w:bCs/>
          <w:color w:val="000000"/>
          <w:sz w:val="26"/>
          <w:szCs w:val="26"/>
          <w:lang w:val="es-MX"/>
        </w:rPr>
        <w:t>anera subjetiva y sin un sustento lógico jurídico, determinó sobresee</w:t>
      </w:r>
      <w:r>
        <w:rPr>
          <w:rFonts w:ascii="Arial" w:hAnsi="Arial" w:cs="Arial"/>
          <w:bCs/>
          <w:color w:val="000000"/>
          <w:sz w:val="26"/>
          <w:szCs w:val="26"/>
          <w:lang w:val="es-MX"/>
        </w:rPr>
        <w:t>r</w:t>
      </w:r>
      <w:r w:rsidR="003D3158">
        <w:rPr>
          <w:rFonts w:ascii="Arial" w:hAnsi="Arial" w:cs="Arial"/>
          <w:bCs/>
          <w:color w:val="000000"/>
          <w:sz w:val="26"/>
          <w:szCs w:val="26"/>
          <w:lang w:val="es-MX"/>
        </w:rPr>
        <w:t xml:space="preserve"> el juicio, porque est</w:t>
      </w:r>
      <w:r w:rsidR="00DB08D5">
        <w:rPr>
          <w:rFonts w:ascii="Arial" w:hAnsi="Arial" w:cs="Arial"/>
          <w:bCs/>
          <w:color w:val="000000"/>
          <w:sz w:val="26"/>
          <w:szCs w:val="26"/>
          <w:lang w:val="es-MX"/>
        </w:rPr>
        <w:t>imó que la concesión que ostenta</w:t>
      </w:r>
      <w:r w:rsidR="003D3158">
        <w:rPr>
          <w:rFonts w:ascii="Arial" w:hAnsi="Arial" w:cs="Arial"/>
          <w:bCs/>
          <w:color w:val="000000"/>
          <w:sz w:val="26"/>
          <w:szCs w:val="26"/>
          <w:lang w:val="es-MX"/>
        </w:rPr>
        <w:t xml:space="preserve"> es caduca e ilegal al haber sido emitida por tiempo indefinido, máxime que según </w:t>
      </w:r>
      <w:r w:rsidR="00DB08D5">
        <w:rPr>
          <w:rFonts w:ascii="Arial" w:hAnsi="Arial" w:cs="Arial"/>
          <w:bCs/>
          <w:color w:val="000000"/>
          <w:sz w:val="26"/>
          <w:szCs w:val="26"/>
          <w:lang w:val="es-MX"/>
        </w:rPr>
        <w:t xml:space="preserve">la emisora </w:t>
      </w:r>
      <w:r w:rsidR="003D3158">
        <w:rPr>
          <w:rFonts w:ascii="Arial" w:hAnsi="Arial" w:cs="Arial"/>
          <w:bCs/>
          <w:color w:val="000000"/>
          <w:sz w:val="26"/>
          <w:szCs w:val="26"/>
          <w:lang w:val="es-MX"/>
        </w:rPr>
        <w:t>no</w:t>
      </w:r>
      <w:r w:rsidR="00DB08D5">
        <w:rPr>
          <w:rFonts w:ascii="Arial" w:hAnsi="Arial" w:cs="Arial"/>
          <w:bCs/>
          <w:color w:val="000000"/>
          <w:sz w:val="26"/>
          <w:szCs w:val="26"/>
          <w:lang w:val="es-MX"/>
        </w:rPr>
        <w:t xml:space="preserve"> anexó</w:t>
      </w:r>
      <w:r w:rsidR="003D3158">
        <w:rPr>
          <w:rFonts w:ascii="Arial" w:hAnsi="Arial" w:cs="Arial"/>
          <w:bCs/>
          <w:color w:val="000000"/>
          <w:sz w:val="26"/>
          <w:szCs w:val="26"/>
          <w:lang w:val="es-MX"/>
        </w:rPr>
        <w:t xml:space="preserve"> prueba alguna que justificara </w:t>
      </w:r>
      <w:r w:rsidR="00DB08D5">
        <w:rPr>
          <w:rFonts w:ascii="Arial" w:hAnsi="Arial" w:cs="Arial"/>
          <w:bCs/>
          <w:color w:val="000000"/>
          <w:sz w:val="26"/>
          <w:szCs w:val="26"/>
          <w:lang w:val="es-MX"/>
        </w:rPr>
        <w:t>que solicitó</w:t>
      </w:r>
      <w:r w:rsidR="003D3158">
        <w:rPr>
          <w:rFonts w:ascii="Arial" w:hAnsi="Arial" w:cs="Arial"/>
          <w:bCs/>
          <w:color w:val="000000"/>
          <w:sz w:val="26"/>
          <w:szCs w:val="26"/>
          <w:lang w:val="es-MX"/>
        </w:rPr>
        <w:t xml:space="preserve"> su ren</w:t>
      </w:r>
      <w:r w:rsidR="00CF18A7">
        <w:rPr>
          <w:rFonts w:ascii="Arial" w:hAnsi="Arial" w:cs="Arial"/>
          <w:bCs/>
          <w:color w:val="000000"/>
          <w:sz w:val="26"/>
          <w:szCs w:val="26"/>
          <w:lang w:val="es-MX"/>
        </w:rPr>
        <w:t>ovación y en consecuencia, operó</w:t>
      </w:r>
      <w:r w:rsidR="003D3158">
        <w:rPr>
          <w:rFonts w:ascii="Arial" w:hAnsi="Arial" w:cs="Arial"/>
          <w:bCs/>
          <w:color w:val="000000"/>
          <w:sz w:val="26"/>
          <w:szCs w:val="26"/>
          <w:lang w:val="es-MX"/>
        </w:rPr>
        <w:t xml:space="preserve"> su caducidad de forma inmediata, dada naturaleza jurídica de la figura jurídica.</w:t>
      </w:r>
    </w:p>
    <w:p w14:paraId="28CDD0AC" w14:textId="0B4B5A83" w:rsidR="003D3158" w:rsidRDefault="00CF18A7"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Que tal consideración considera</w:t>
      </w:r>
      <w:r w:rsidR="003D3158">
        <w:rPr>
          <w:rFonts w:ascii="Arial" w:hAnsi="Arial" w:cs="Arial"/>
          <w:bCs/>
          <w:color w:val="000000"/>
          <w:sz w:val="26"/>
          <w:szCs w:val="26"/>
          <w:lang w:val="es-MX"/>
        </w:rPr>
        <w:t xml:space="preserve"> </w:t>
      </w:r>
      <w:r>
        <w:rPr>
          <w:rFonts w:ascii="Arial" w:hAnsi="Arial" w:cs="Arial"/>
          <w:bCs/>
          <w:color w:val="000000"/>
          <w:sz w:val="26"/>
          <w:szCs w:val="26"/>
          <w:lang w:val="es-MX"/>
        </w:rPr>
        <w:t xml:space="preserve">que </w:t>
      </w:r>
      <w:r w:rsidR="003D3158">
        <w:rPr>
          <w:rFonts w:ascii="Arial" w:hAnsi="Arial" w:cs="Arial"/>
          <w:bCs/>
          <w:color w:val="000000"/>
          <w:sz w:val="26"/>
          <w:szCs w:val="26"/>
          <w:lang w:val="es-MX"/>
        </w:rPr>
        <w:t>es errónea e ilegal, en virtud, de que la inferior trasgredi</w:t>
      </w:r>
      <w:r>
        <w:rPr>
          <w:rFonts w:ascii="Arial" w:hAnsi="Arial" w:cs="Arial"/>
          <w:bCs/>
          <w:color w:val="000000"/>
          <w:sz w:val="26"/>
          <w:szCs w:val="26"/>
          <w:lang w:val="es-MX"/>
        </w:rPr>
        <w:t>ó con el sentido de su fallo, su</w:t>
      </w:r>
      <w:r w:rsidR="003D3158">
        <w:rPr>
          <w:rFonts w:ascii="Arial" w:hAnsi="Arial" w:cs="Arial"/>
          <w:bCs/>
          <w:color w:val="000000"/>
          <w:sz w:val="26"/>
          <w:szCs w:val="26"/>
          <w:lang w:val="es-MX"/>
        </w:rPr>
        <w:t xml:space="preserve"> garantía de Legalidad y el principio Pro persona, establecido en los artículos 1° y 16 de la Constitución Federal, pues de autos se deduce que la enjuiciada Secretaría de Vialidad y Tr</w:t>
      </w:r>
      <w:r>
        <w:rPr>
          <w:rFonts w:ascii="Arial" w:hAnsi="Arial" w:cs="Arial"/>
          <w:bCs/>
          <w:color w:val="000000"/>
          <w:sz w:val="26"/>
          <w:szCs w:val="26"/>
          <w:lang w:val="es-MX"/>
        </w:rPr>
        <w:t>ansporte del Estado, no contestó</w:t>
      </w:r>
      <w:r w:rsidR="003D3158">
        <w:rPr>
          <w:rFonts w:ascii="Arial" w:hAnsi="Arial" w:cs="Arial"/>
          <w:bCs/>
          <w:color w:val="000000"/>
          <w:sz w:val="26"/>
          <w:szCs w:val="26"/>
          <w:lang w:val="es-MX"/>
        </w:rPr>
        <w:t xml:space="preserve"> la demanda, por t</w:t>
      </w:r>
      <w:r>
        <w:rPr>
          <w:rFonts w:ascii="Arial" w:hAnsi="Arial" w:cs="Arial"/>
          <w:bCs/>
          <w:color w:val="000000"/>
          <w:sz w:val="26"/>
          <w:szCs w:val="26"/>
          <w:lang w:val="es-MX"/>
        </w:rPr>
        <w:t xml:space="preserve">anto </w:t>
      </w:r>
      <w:r w:rsidR="003D3158">
        <w:rPr>
          <w:rFonts w:ascii="Arial" w:hAnsi="Arial" w:cs="Arial"/>
          <w:bCs/>
          <w:color w:val="000000"/>
          <w:sz w:val="26"/>
          <w:szCs w:val="26"/>
          <w:lang w:val="es-MX"/>
        </w:rPr>
        <w:t>se tuvieron com</w:t>
      </w:r>
      <w:r>
        <w:rPr>
          <w:rFonts w:ascii="Arial" w:hAnsi="Arial" w:cs="Arial"/>
          <w:bCs/>
          <w:color w:val="000000"/>
          <w:sz w:val="26"/>
          <w:szCs w:val="26"/>
          <w:lang w:val="es-MX"/>
        </w:rPr>
        <w:t>o ciertos todos los hechos de su</w:t>
      </w:r>
      <w:r w:rsidR="003D3158">
        <w:rPr>
          <w:rFonts w:ascii="Arial" w:hAnsi="Arial" w:cs="Arial"/>
          <w:bCs/>
          <w:color w:val="000000"/>
          <w:sz w:val="26"/>
          <w:szCs w:val="26"/>
          <w:lang w:val="es-MX"/>
        </w:rPr>
        <w:t xml:space="preserve"> demanda, amén de que las pruebas exhibid</w:t>
      </w:r>
      <w:r>
        <w:rPr>
          <w:rFonts w:ascii="Arial" w:hAnsi="Arial" w:cs="Arial"/>
          <w:bCs/>
          <w:color w:val="000000"/>
          <w:sz w:val="26"/>
          <w:szCs w:val="26"/>
          <w:lang w:val="es-MX"/>
        </w:rPr>
        <w:t>as en el juicio hacen prueba plena al no haber sido objetadas</w:t>
      </w:r>
      <w:r w:rsidR="003D3158">
        <w:rPr>
          <w:rFonts w:ascii="Arial" w:hAnsi="Arial" w:cs="Arial"/>
          <w:bCs/>
          <w:color w:val="000000"/>
          <w:sz w:val="26"/>
          <w:szCs w:val="26"/>
          <w:lang w:val="es-MX"/>
        </w:rPr>
        <w:t xml:space="preserve">. </w:t>
      </w:r>
      <w:r>
        <w:rPr>
          <w:rFonts w:ascii="Arial" w:hAnsi="Arial" w:cs="Arial"/>
          <w:bCs/>
          <w:color w:val="000000"/>
          <w:sz w:val="26"/>
          <w:szCs w:val="26"/>
          <w:lang w:val="es-MX"/>
        </w:rPr>
        <w:t xml:space="preserve"> Que l</w:t>
      </w:r>
      <w:r w:rsidR="003D3158">
        <w:rPr>
          <w:rFonts w:ascii="Arial" w:hAnsi="Arial" w:cs="Arial"/>
          <w:bCs/>
          <w:color w:val="000000"/>
          <w:sz w:val="26"/>
          <w:szCs w:val="26"/>
          <w:lang w:val="es-MX"/>
        </w:rPr>
        <w:t>a ilegalidad radica que la inferior de fo</w:t>
      </w:r>
      <w:r>
        <w:rPr>
          <w:rFonts w:ascii="Arial" w:hAnsi="Arial" w:cs="Arial"/>
          <w:bCs/>
          <w:color w:val="000000"/>
          <w:sz w:val="26"/>
          <w:szCs w:val="26"/>
          <w:lang w:val="es-MX"/>
        </w:rPr>
        <w:t>rma arbitraria, determinó que su</w:t>
      </w:r>
      <w:r w:rsidR="003D3158">
        <w:rPr>
          <w:rFonts w:ascii="Arial" w:hAnsi="Arial" w:cs="Arial"/>
          <w:bCs/>
          <w:color w:val="000000"/>
          <w:sz w:val="26"/>
          <w:szCs w:val="26"/>
          <w:lang w:val="es-MX"/>
        </w:rPr>
        <w:t xml:space="preserve"> concesión es caduca mediante consideraciones subjetivas sin un sustento lógico jurídico, es decir, prácticamente contestó la demanda de la autoridad al haber emitido su fallo en este sentido, siendo que dejó de valorar los hechos de mi demanda y las pruebas con la que justifique los mismos.</w:t>
      </w:r>
    </w:p>
    <w:p w14:paraId="5E04491A" w14:textId="5C292C96" w:rsidR="003D3158" w:rsidRDefault="00CF18A7" w:rsidP="00CF18A7">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Que además </w:t>
      </w:r>
      <w:r w:rsidR="003D3158">
        <w:rPr>
          <w:rFonts w:ascii="Arial" w:hAnsi="Arial" w:cs="Arial"/>
          <w:bCs/>
          <w:color w:val="000000"/>
          <w:sz w:val="26"/>
          <w:szCs w:val="26"/>
          <w:lang w:val="es-MX"/>
        </w:rPr>
        <w:t>a ello, sól</w:t>
      </w:r>
      <w:r>
        <w:rPr>
          <w:rFonts w:ascii="Arial" w:hAnsi="Arial" w:cs="Arial"/>
          <w:bCs/>
          <w:color w:val="000000"/>
          <w:sz w:val="26"/>
          <w:szCs w:val="26"/>
          <w:lang w:val="es-MX"/>
        </w:rPr>
        <w:t xml:space="preserve">o se limitó a manifestar que su </w:t>
      </w:r>
      <w:r w:rsidR="003D3158">
        <w:rPr>
          <w:rFonts w:ascii="Arial" w:hAnsi="Arial" w:cs="Arial"/>
          <w:bCs/>
          <w:color w:val="000000"/>
          <w:sz w:val="26"/>
          <w:szCs w:val="26"/>
          <w:lang w:val="es-MX"/>
        </w:rPr>
        <w:t>concesión al haber sido expedida de forma de</w:t>
      </w:r>
      <w:r>
        <w:rPr>
          <w:rFonts w:ascii="Arial" w:hAnsi="Arial" w:cs="Arial"/>
          <w:bCs/>
          <w:color w:val="000000"/>
          <w:sz w:val="26"/>
          <w:szCs w:val="26"/>
          <w:lang w:val="es-MX"/>
        </w:rPr>
        <w:t>finitiva, es un documento caduca</w:t>
      </w:r>
      <w:r w:rsidR="003D3158">
        <w:rPr>
          <w:rFonts w:ascii="Arial" w:hAnsi="Arial" w:cs="Arial"/>
          <w:bCs/>
          <w:color w:val="000000"/>
          <w:sz w:val="26"/>
          <w:szCs w:val="26"/>
          <w:lang w:val="es-MX"/>
        </w:rPr>
        <w:t xml:space="preserve"> e ilegal, por contravenir lo dispuesto en los artículos 24 y 25 de la Ley de Tránsito del Estado; cuestión ésta que nunca fue alegada por la autoridad, dado su confesión ficta; por tanto es obvio que </w:t>
      </w:r>
      <w:r w:rsidR="003D3158">
        <w:rPr>
          <w:rFonts w:ascii="Arial" w:hAnsi="Arial" w:cs="Arial"/>
          <w:b/>
          <w:bCs/>
          <w:color w:val="000000"/>
          <w:sz w:val="26"/>
          <w:szCs w:val="26"/>
          <w:lang w:val="es-MX"/>
        </w:rPr>
        <w:t>mejoró la defensa de la autoridad en mi perjuicio y en consecuencia varió la Litis del juicio de nulidad que nos ocupa,</w:t>
      </w:r>
      <w:r w:rsidR="003D3158">
        <w:rPr>
          <w:rFonts w:ascii="Arial" w:hAnsi="Arial" w:cs="Arial"/>
          <w:bCs/>
          <w:color w:val="000000"/>
          <w:sz w:val="26"/>
          <w:szCs w:val="26"/>
          <w:lang w:val="es-MX"/>
        </w:rPr>
        <w:t xml:space="preserve"> por lo que su actuar violó flagrantemente lo previsto en el artículo 118 de la Ley de la Materia, al haber prácticamente suplido la deficiencia de la queja en beneficio de la citada autoridad, lo que no es correcto, atenta a que el procedimiento contencioso administrativo es de carácter dispositivo y de estricto derecho, por lo cual la suplencia de la queja, si bien está permitida, pero sólo puede y debe aplicarse cuando se trata del administrado. En consecuencia, si </w:t>
      </w:r>
      <w:r>
        <w:rPr>
          <w:rFonts w:ascii="Arial" w:hAnsi="Arial" w:cs="Arial"/>
          <w:bCs/>
          <w:color w:val="000000"/>
          <w:sz w:val="26"/>
          <w:szCs w:val="26"/>
          <w:lang w:val="es-MX"/>
        </w:rPr>
        <w:t>la</w:t>
      </w:r>
      <w:r w:rsidR="003D3158">
        <w:rPr>
          <w:rFonts w:ascii="Arial" w:hAnsi="Arial" w:cs="Arial"/>
          <w:bCs/>
          <w:color w:val="000000"/>
          <w:sz w:val="26"/>
          <w:szCs w:val="26"/>
          <w:lang w:val="es-MX"/>
        </w:rPr>
        <w:t xml:space="preserve"> A</w:t>
      </w:r>
      <w:r w:rsidR="00B6280E">
        <w:rPr>
          <w:rFonts w:ascii="Arial" w:hAnsi="Arial" w:cs="Arial"/>
          <w:bCs/>
          <w:color w:val="000000"/>
          <w:sz w:val="26"/>
          <w:szCs w:val="26"/>
          <w:lang w:val="es-MX"/>
        </w:rPr>
        <w:t xml:space="preserve"> </w:t>
      </w:r>
      <w:r w:rsidR="003D3158">
        <w:rPr>
          <w:rFonts w:ascii="Arial" w:hAnsi="Arial" w:cs="Arial"/>
          <w:bCs/>
          <w:color w:val="000000"/>
          <w:sz w:val="26"/>
          <w:szCs w:val="26"/>
          <w:lang w:val="es-MX"/>
        </w:rPr>
        <w:t>quo contravino este principio y varió la Litis del negoci</w:t>
      </w:r>
      <w:r>
        <w:rPr>
          <w:rFonts w:ascii="Arial" w:hAnsi="Arial" w:cs="Arial"/>
          <w:bCs/>
          <w:color w:val="000000"/>
          <w:sz w:val="26"/>
          <w:szCs w:val="26"/>
          <w:lang w:val="es-MX"/>
        </w:rPr>
        <w:t>o, es claro que lo</w:t>
      </w:r>
      <w:r w:rsidR="003D3158">
        <w:rPr>
          <w:rFonts w:ascii="Arial" w:hAnsi="Arial" w:cs="Arial"/>
          <w:bCs/>
          <w:color w:val="000000"/>
          <w:sz w:val="26"/>
          <w:szCs w:val="26"/>
          <w:lang w:val="es-MX"/>
        </w:rPr>
        <w:t xml:space="preserve"> dejó en completo estado de indefensión; pues debe decirse que en tratándose de Juicios de nulidad en los que se reclama una resolución negativa ficta, la autoridad únicamente deberá expresar los hechos o derecho en que apoya tal negativa como imperativamente se le impone el artículo 156, primer párrafo de la Ley de Jus</w:t>
      </w:r>
      <w:r>
        <w:rPr>
          <w:rFonts w:ascii="Arial" w:hAnsi="Arial" w:cs="Arial"/>
          <w:bCs/>
          <w:color w:val="000000"/>
          <w:sz w:val="26"/>
          <w:szCs w:val="26"/>
          <w:lang w:val="es-MX"/>
        </w:rPr>
        <w:t xml:space="preserve">ticia Administrativa del Estado. (Transcribe el </w:t>
      </w:r>
      <w:r w:rsidR="005124D7">
        <w:rPr>
          <w:rFonts w:ascii="Arial" w:hAnsi="Arial" w:cs="Arial"/>
          <w:bCs/>
          <w:color w:val="000000"/>
          <w:sz w:val="26"/>
          <w:szCs w:val="26"/>
          <w:lang w:val="es-MX"/>
        </w:rPr>
        <w:t>artículo</w:t>
      </w:r>
      <w:r>
        <w:rPr>
          <w:rFonts w:ascii="Arial" w:hAnsi="Arial" w:cs="Arial"/>
          <w:bCs/>
          <w:color w:val="000000"/>
          <w:sz w:val="26"/>
          <w:szCs w:val="26"/>
          <w:lang w:val="es-MX"/>
        </w:rPr>
        <w:t xml:space="preserve">) </w:t>
      </w:r>
    </w:p>
    <w:p w14:paraId="657550DF" w14:textId="23A08605" w:rsidR="003D3158" w:rsidRDefault="00CF18A7"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Por </w:t>
      </w:r>
      <w:r w:rsidR="005124D7">
        <w:rPr>
          <w:rFonts w:ascii="Arial" w:hAnsi="Arial" w:cs="Arial"/>
          <w:bCs/>
          <w:color w:val="000000"/>
          <w:sz w:val="26"/>
          <w:szCs w:val="26"/>
          <w:lang w:val="es-MX"/>
        </w:rPr>
        <w:t xml:space="preserve"> ello, que </w:t>
      </w:r>
      <w:r w:rsidR="003D3158">
        <w:rPr>
          <w:rFonts w:ascii="Arial" w:hAnsi="Arial" w:cs="Arial"/>
          <w:bCs/>
          <w:color w:val="000000"/>
          <w:sz w:val="26"/>
          <w:szCs w:val="26"/>
          <w:lang w:val="es-MX"/>
        </w:rPr>
        <w:t xml:space="preserve">si la autoridad demandada no hizo valer ningún hecho o derecho para sostener su negativa ficta respecto a </w:t>
      </w:r>
      <w:r>
        <w:rPr>
          <w:rFonts w:ascii="Arial" w:hAnsi="Arial" w:cs="Arial"/>
          <w:bCs/>
          <w:color w:val="000000"/>
          <w:sz w:val="26"/>
          <w:szCs w:val="26"/>
          <w:lang w:val="es-MX"/>
        </w:rPr>
        <w:t xml:space="preserve">sus peticiones, por tanto la juzgadora no le </w:t>
      </w:r>
      <w:r w:rsidR="00707C14">
        <w:rPr>
          <w:rFonts w:ascii="Arial" w:hAnsi="Arial" w:cs="Arial"/>
          <w:bCs/>
          <w:color w:val="000000"/>
          <w:sz w:val="26"/>
          <w:szCs w:val="26"/>
          <w:lang w:val="es-MX"/>
        </w:rPr>
        <w:t>correspondía</w:t>
      </w:r>
      <w:r>
        <w:rPr>
          <w:rFonts w:ascii="Arial" w:hAnsi="Arial" w:cs="Arial"/>
          <w:bCs/>
          <w:color w:val="000000"/>
          <w:sz w:val="26"/>
          <w:szCs w:val="26"/>
          <w:lang w:val="es-MX"/>
        </w:rPr>
        <w:t xml:space="preserve"> </w:t>
      </w:r>
      <w:r w:rsidR="003D3158">
        <w:rPr>
          <w:rFonts w:ascii="Arial" w:hAnsi="Arial" w:cs="Arial"/>
          <w:bCs/>
          <w:color w:val="000000"/>
          <w:sz w:val="26"/>
          <w:szCs w:val="26"/>
          <w:lang w:val="es-MX"/>
        </w:rPr>
        <w:t>invocarlas ni realizar su análisis en la forma que lo hizo, pues con su actuar varió la Litis del asunto</w:t>
      </w:r>
      <w:r w:rsidR="00707C14">
        <w:rPr>
          <w:rFonts w:ascii="Arial" w:hAnsi="Arial" w:cs="Arial"/>
          <w:bCs/>
          <w:color w:val="000000"/>
          <w:sz w:val="26"/>
          <w:szCs w:val="26"/>
          <w:lang w:val="es-MX"/>
        </w:rPr>
        <w:t xml:space="preserve">, mejorando la defensa de la autoridad, por tanto que al no haber </w:t>
      </w:r>
      <w:r w:rsidR="003D3158">
        <w:rPr>
          <w:rFonts w:ascii="Arial" w:hAnsi="Arial" w:cs="Arial"/>
          <w:bCs/>
          <w:color w:val="000000"/>
          <w:sz w:val="26"/>
          <w:szCs w:val="26"/>
          <w:lang w:val="es-MX"/>
        </w:rPr>
        <w:t>acreditado la responsable los hechos y derecho</w:t>
      </w:r>
      <w:r w:rsidR="00707C14">
        <w:rPr>
          <w:rFonts w:ascii="Arial" w:hAnsi="Arial" w:cs="Arial"/>
          <w:bCs/>
          <w:color w:val="000000"/>
          <w:sz w:val="26"/>
          <w:szCs w:val="26"/>
          <w:lang w:val="es-MX"/>
        </w:rPr>
        <w:t>s</w:t>
      </w:r>
      <w:r w:rsidR="003D3158">
        <w:rPr>
          <w:rFonts w:ascii="Arial" w:hAnsi="Arial" w:cs="Arial"/>
          <w:bCs/>
          <w:color w:val="000000"/>
          <w:sz w:val="26"/>
          <w:szCs w:val="26"/>
          <w:lang w:val="es-MX"/>
        </w:rPr>
        <w:t xml:space="preserve"> en los que fundamento su resolución negativa ficta, debió de haber decretado procedente mis pretensiones en el juicio.</w:t>
      </w:r>
    </w:p>
    <w:p w14:paraId="60AC6077" w14:textId="76D4348F" w:rsidR="003D3158" w:rsidRDefault="00A86CCB" w:rsidP="003D3158">
      <w:pPr>
        <w:pStyle w:val="Sinespaciado"/>
        <w:spacing w:before="240" w:line="360" w:lineRule="auto"/>
        <w:jc w:val="both"/>
        <w:rPr>
          <w:rFonts w:ascii="Arial" w:hAnsi="Arial" w:cs="Arial"/>
          <w:bCs/>
          <w:color w:val="000000"/>
          <w:sz w:val="26"/>
          <w:szCs w:val="26"/>
          <w:lang w:val="es-MX"/>
        </w:rPr>
      </w:pPr>
      <w:r>
        <w:rPr>
          <w:rFonts w:ascii="Arial" w:hAnsi="Arial" w:cs="Arial"/>
          <w:b/>
          <w:bCs/>
          <w:color w:val="000000"/>
          <w:sz w:val="26"/>
          <w:szCs w:val="26"/>
          <w:lang w:val="es-MX"/>
        </w:rPr>
        <w:tab/>
        <w:t xml:space="preserve">Abunda que </w:t>
      </w:r>
      <w:r>
        <w:rPr>
          <w:rFonts w:ascii="Arial" w:hAnsi="Arial" w:cs="Arial"/>
          <w:bCs/>
          <w:color w:val="000000"/>
          <w:sz w:val="26"/>
          <w:szCs w:val="26"/>
          <w:lang w:val="es-MX"/>
        </w:rPr>
        <w:t>también considera</w:t>
      </w:r>
      <w:r w:rsidR="003D3158">
        <w:rPr>
          <w:rFonts w:ascii="Arial" w:hAnsi="Arial" w:cs="Arial"/>
          <w:bCs/>
          <w:color w:val="000000"/>
          <w:sz w:val="26"/>
          <w:szCs w:val="26"/>
          <w:lang w:val="es-MX"/>
        </w:rPr>
        <w:t xml:space="preserve"> ilegal la sentencia recurrida porque la inferior no se ocupó de resolver todas y cada una de las preten</w:t>
      </w:r>
      <w:r w:rsidR="00C03534">
        <w:rPr>
          <w:rFonts w:ascii="Arial" w:hAnsi="Arial" w:cs="Arial"/>
          <w:bCs/>
          <w:color w:val="000000"/>
          <w:sz w:val="26"/>
          <w:szCs w:val="26"/>
          <w:lang w:val="es-MX"/>
        </w:rPr>
        <w:t>siones que hizo valer en su</w:t>
      </w:r>
      <w:r w:rsidR="003D3158">
        <w:rPr>
          <w:rFonts w:ascii="Arial" w:hAnsi="Arial" w:cs="Arial"/>
          <w:bCs/>
          <w:color w:val="000000"/>
          <w:sz w:val="26"/>
          <w:szCs w:val="26"/>
          <w:lang w:val="es-MX"/>
        </w:rPr>
        <w:t xml:space="preserve"> demanda. Esto es así, porque de la sentencia se deduce que la autoridad dejó de examinar con UN TODO las pretensiones deducidas, pues sólo se ocupó de la supue</w:t>
      </w:r>
      <w:r w:rsidR="00C03534">
        <w:rPr>
          <w:rFonts w:ascii="Arial" w:hAnsi="Arial" w:cs="Arial"/>
          <w:bCs/>
          <w:color w:val="000000"/>
          <w:sz w:val="26"/>
          <w:szCs w:val="26"/>
          <w:lang w:val="es-MX"/>
        </w:rPr>
        <w:t>sta ilegalidad y caducidad de su concesión,</w:t>
      </w:r>
      <w:r w:rsidR="003D3158">
        <w:rPr>
          <w:rFonts w:ascii="Arial" w:hAnsi="Arial" w:cs="Arial"/>
          <w:bCs/>
          <w:color w:val="000000"/>
          <w:sz w:val="26"/>
          <w:szCs w:val="26"/>
          <w:lang w:val="es-MX"/>
        </w:rPr>
        <w:t xml:space="preserve"> sin que para ello se avocara a realizar un estudio total de las pretensiones deducidas por el actor.</w:t>
      </w:r>
    </w:p>
    <w:p w14:paraId="4FFD8CD2" w14:textId="3D0AA29E" w:rsidR="003D3158" w:rsidRDefault="009F0391"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Siendo así, </w:t>
      </w:r>
      <w:r w:rsidR="00C03534">
        <w:rPr>
          <w:rFonts w:ascii="Arial" w:hAnsi="Arial" w:cs="Arial"/>
          <w:bCs/>
          <w:color w:val="000000"/>
          <w:sz w:val="26"/>
          <w:szCs w:val="26"/>
          <w:lang w:val="es-MX"/>
        </w:rPr>
        <w:t>que en autos consta que en su</w:t>
      </w:r>
      <w:r w:rsidR="003D3158">
        <w:rPr>
          <w:rFonts w:ascii="Arial" w:hAnsi="Arial" w:cs="Arial"/>
          <w:bCs/>
          <w:color w:val="000000"/>
          <w:sz w:val="26"/>
          <w:szCs w:val="26"/>
          <w:lang w:val="es-MX"/>
        </w:rPr>
        <w:t xml:space="preserve"> demanda, </w:t>
      </w:r>
      <w:r w:rsidR="00C03534">
        <w:rPr>
          <w:rFonts w:ascii="Arial" w:hAnsi="Arial" w:cs="Arial"/>
          <w:bCs/>
          <w:color w:val="000000"/>
          <w:sz w:val="26"/>
          <w:szCs w:val="26"/>
          <w:lang w:val="es-MX"/>
        </w:rPr>
        <w:t>que demandó</w:t>
      </w:r>
      <w:r w:rsidR="003D3158">
        <w:rPr>
          <w:rFonts w:ascii="Arial" w:hAnsi="Arial" w:cs="Arial"/>
          <w:bCs/>
          <w:color w:val="000000"/>
          <w:sz w:val="26"/>
          <w:szCs w:val="26"/>
          <w:lang w:val="es-MX"/>
        </w:rPr>
        <w:t xml:space="preserve"> lo la nulidad de la </w:t>
      </w:r>
      <w:r w:rsidR="00C03534">
        <w:rPr>
          <w:rFonts w:ascii="Arial" w:hAnsi="Arial" w:cs="Arial"/>
          <w:bCs/>
          <w:color w:val="000000"/>
          <w:sz w:val="26"/>
          <w:szCs w:val="26"/>
          <w:lang w:val="es-MX"/>
        </w:rPr>
        <w:t xml:space="preserve">resolución negativa ficta de su </w:t>
      </w:r>
      <w:r w:rsidR="003D3158">
        <w:rPr>
          <w:rFonts w:ascii="Arial" w:hAnsi="Arial" w:cs="Arial"/>
          <w:bCs/>
          <w:color w:val="000000"/>
          <w:sz w:val="26"/>
          <w:szCs w:val="26"/>
          <w:lang w:val="es-MX"/>
        </w:rPr>
        <w:t xml:space="preserve">escrito de 12 </w:t>
      </w:r>
      <w:r w:rsidR="005F62FE">
        <w:rPr>
          <w:rFonts w:ascii="Arial" w:hAnsi="Arial" w:cs="Arial"/>
          <w:bCs/>
          <w:color w:val="000000"/>
          <w:sz w:val="26"/>
          <w:szCs w:val="26"/>
          <w:lang w:val="es-MX"/>
        </w:rPr>
        <w:t xml:space="preserve">doce </w:t>
      </w:r>
      <w:r w:rsidR="003D3158">
        <w:rPr>
          <w:rFonts w:ascii="Arial" w:hAnsi="Arial" w:cs="Arial"/>
          <w:bCs/>
          <w:color w:val="000000"/>
          <w:sz w:val="26"/>
          <w:szCs w:val="26"/>
          <w:lang w:val="es-MX"/>
        </w:rPr>
        <w:t>de abril del 2007</w:t>
      </w:r>
      <w:r w:rsidR="005F62FE">
        <w:rPr>
          <w:rFonts w:ascii="Arial" w:hAnsi="Arial" w:cs="Arial"/>
          <w:bCs/>
          <w:color w:val="000000"/>
          <w:sz w:val="26"/>
          <w:szCs w:val="26"/>
          <w:lang w:val="es-MX"/>
        </w:rPr>
        <w:t xml:space="preserve"> dos mil siete </w:t>
      </w:r>
      <w:r w:rsidR="003D3158">
        <w:rPr>
          <w:rFonts w:ascii="Arial" w:hAnsi="Arial" w:cs="Arial"/>
          <w:bCs/>
          <w:color w:val="000000"/>
          <w:sz w:val="26"/>
          <w:szCs w:val="26"/>
          <w:lang w:val="es-MX"/>
        </w:rPr>
        <w:t xml:space="preserve"> y 29</w:t>
      </w:r>
      <w:r w:rsidR="005F62FE">
        <w:rPr>
          <w:rFonts w:ascii="Arial" w:hAnsi="Arial" w:cs="Arial"/>
          <w:bCs/>
          <w:color w:val="000000"/>
          <w:sz w:val="26"/>
          <w:szCs w:val="26"/>
          <w:lang w:val="es-MX"/>
        </w:rPr>
        <w:t xml:space="preserve"> veintinueve </w:t>
      </w:r>
      <w:r w:rsidR="003D3158">
        <w:rPr>
          <w:rFonts w:ascii="Arial" w:hAnsi="Arial" w:cs="Arial"/>
          <w:bCs/>
          <w:color w:val="000000"/>
          <w:sz w:val="26"/>
          <w:szCs w:val="26"/>
          <w:lang w:val="es-MX"/>
        </w:rPr>
        <w:t xml:space="preserve"> de enero del </w:t>
      </w:r>
      <w:r w:rsidR="00C03534">
        <w:rPr>
          <w:rFonts w:ascii="Arial" w:hAnsi="Arial" w:cs="Arial"/>
          <w:bCs/>
          <w:color w:val="000000"/>
          <w:sz w:val="26"/>
          <w:szCs w:val="26"/>
          <w:lang w:val="es-MX"/>
        </w:rPr>
        <w:t>2008</w:t>
      </w:r>
      <w:r w:rsidR="005F62FE">
        <w:rPr>
          <w:rFonts w:ascii="Arial" w:hAnsi="Arial" w:cs="Arial"/>
          <w:bCs/>
          <w:color w:val="000000"/>
          <w:sz w:val="26"/>
          <w:szCs w:val="26"/>
          <w:lang w:val="es-MX"/>
        </w:rPr>
        <w:t xml:space="preserve"> dos mil ocho</w:t>
      </w:r>
      <w:r w:rsidR="00C03534">
        <w:rPr>
          <w:rFonts w:ascii="Arial" w:hAnsi="Arial" w:cs="Arial"/>
          <w:bCs/>
          <w:color w:val="000000"/>
          <w:sz w:val="26"/>
          <w:szCs w:val="26"/>
          <w:lang w:val="es-MX"/>
        </w:rPr>
        <w:t>, mediante la cual solicitó la publicación de su</w:t>
      </w:r>
      <w:r>
        <w:rPr>
          <w:rFonts w:ascii="Arial" w:hAnsi="Arial" w:cs="Arial"/>
          <w:bCs/>
          <w:color w:val="000000"/>
          <w:sz w:val="26"/>
          <w:szCs w:val="26"/>
          <w:lang w:val="es-MX"/>
        </w:rPr>
        <w:t xml:space="preserve"> concesión en el Periódico Oficial del E</w:t>
      </w:r>
      <w:r w:rsidR="003D3158">
        <w:rPr>
          <w:rFonts w:ascii="Arial" w:hAnsi="Arial" w:cs="Arial"/>
          <w:bCs/>
          <w:color w:val="000000"/>
          <w:sz w:val="26"/>
          <w:szCs w:val="26"/>
          <w:lang w:val="es-MX"/>
        </w:rPr>
        <w:t xml:space="preserve">stado, el otorgamiento de la boleta de certeza jurídica, cambio de vehículo y oficio de </w:t>
      </w:r>
      <w:proofErr w:type="spellStart"/>
      <w:r w:rsidR="003D3158">
        <w:rPr>
          <w:rFonts w:ascii="Arial" w:hAnsi="Arial" w:cs="Arial"/>
          <w:bCs/>
          <w:color w:val="000000"/>
          <w:sz w:val="26"/>
          <w:szCs w:val="26"/>
          <w:lang w:val="es-MX"/>
        </w:rPr>
        <w:t>emplacamiento</w:t>
      </w:r>
      <w:proofErr w:type="spellEnd"/>
      <w:r w:rsidR="003D3158">
        <w:rPr>
          <w:rFonts w:ascii="Arial" w:hAnsi="Arial" w:cs="Arial"/>
          <w:bCs/>
          <w:color w:val="000000"/>
          <w:sz w:val="26"/>
          <w:szCs w:val="26"/>
          <w:lang w:val="es-MX"/>
        </w:rPr>
        <w:t>.</w:t>
      </w:r>
    </w:p>
    <w:p w14:paraId="4D103B17" w14:textId="08677507" w:rsidR="003D3158" w:rsidRDefault="00C03534"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Sin embargo</w:t>
      </w:r>
      <w:r w:rsidR="00C67C29">
        <w:rPr>
          <w:rFonts w:ascii="Arial" w:hAnsi="Arial" w:cs="Arial"/>
          <w:bCs/>
          <w:color w:val="000000"/>
          <w:sz w:val="26"/>
          <w:szCs w:val="26"/>
          <w:lang w:val="es-MX"/>
        </w:rPr>
        <w:t>,</w:t>
      </w:r>
      <w:r>
        <w:rPr>
          <w:rFonts w:ascii="Arial" w:hAnsi="Arial" w:cs="Arial"/>
          <w:bCs/>
          <w:color w:val="000000"/>
          <w:sz w:val="26"/>
          <w:szCs w:val="26"/>
          <w:lang w:val="es-MX"/>
        </w:rPr>
        <w:t xml:space="preserve"> </w:t>
      </w:r>
      <w:r w:rsidR="009F0391">
        <w:rPr>
          <w:rFonts w:ascii="Arial" w:hAnsi="Arial" w:cs="Arial"/>
          <w:bCs/>
          <w:color w:val="000000"/>
          <w:sz w:val="26"/>
          <w:szCs w:val="26"/>
          <w:lang w:val="es-MX"/>
        </w:rPr>
        <w:t xml:space="preserve"> que </w:t>
      </w:r>
      <w:r>
        <w:rPr>
          <w:rFonts w:ascii="Arial" w:hAnsi="Arial" w:cs="Arial"/>
          <w:bCs/>
          <w:color w:val="000000"/>
          <w:sz w:val="26"/>
          <w:szCs w:val="26"/>
          <w:lang w:val="es-MX"/>
        </w:rPr>
        <w:t xml:space="preserve">la </w:t>
      </w:r>
      <w:proofErr w:type="spellStart"/>
      <w:r>
        <w:rPr>
          <w:rFonts w:ascii="Arial" w:hAnsi="Arial" w:cs="Arial"/>
          <w:bCs/>
          <w:color w:val="000000"/>
          <w:sz w:val="26"/>
          <w:szCs w:val="26"/>
          <w:lang w:val="es-MX"/>
        </w:rPr>
        <w:t>resolutora</w:t>
      </w:r>
      <w:proofErr w:type="spellEnd"/>
      <w:r>
        <w:rPr>
          <w:rFonts w:ascii="Arial" w:hAnsi="Arial" w:cs="Arial"/>
          <w:bCs/>
          <w:color w:val="000000"/>
          <w:sz w:val="26"/>
          <w:szCs w:val="26"/>
          <w:lang w:val="es-MX"/>
        </w:rPr>
        <w:t xml:space="preserve"> </w:t>
      </w:r>
      <w:r w:rsidR="003D3158">
        <w:rPr>
          <w:rFonts w:ascii="Arial" w:hAnsi="Arial" w:cs="Arial"/>
          <w:bCs/>
          <w:color w:val="000000"/>
          <w:sz w:val="26"/>
          <w:szCs w:val="26"/>
          <w:lang w:val="es-MX"/>
        </w:rPr>
        <w:t>omitió realizar un estudio sobre la legalidad o no, relativa a la resolución negativa ficta recaída sobre todo lo pedido en los escritos de r</w:t>
      </w:r>
      <w:r w:rsidR="00C67C29">
        <w:rPr>
          <w:rFonts w:ascii="Arial" w:hAnsi="Arial" w:cs="Arial"/>
          <w:bCs/>
          <w:color w:val="000000"/>
          <w:sz w:val="26"/>
          <w:szCs w:val="26"/>
          <w:lang w:val="es-MX"/>
        </w:rPr>
        <w:t>eferencia, pues en estos demandó</w:t>
      </w:r>
      <w:r w:rsidR="003D3158">
        <w:rPr>
          <w:rFonts w:ascii="Arial" w:hAnsi="Arial" w:cs="Arial"/>
          <w:bCs/>
          <w:color w:val="000000"/>
          <w:sz w:val="26"/>
          <w:szCs w:val="26"/>
          <w:lang w:val="es-MX"/>
        </w:rPr>
        <w:t xml:space="preserve"> diversos puntos, en relación a la concesión contenida en el acuerdo 15051, para prestar el servicio público de taxi en la población de la Villa de </w:t>
      </w:r>
      <w:proofErr w:type="spellStart"/>
      <w:r w:rsidR="003D3158">
        <w:rPr>
          <w:rFonts w:ascii="Arial" w:hAnsi="Arial" w:cs="Arial"/>
          <w:bCs/>
          <w:color w:val="000000"/>
          <w:sz w:val="26"/>
          <w:szCs w:val="26"/>
          <w:lang w:val="es-MX"/>
        </w:rPr>
        <w:t>Etla</w:t>
      </w:r>
      <w:proofErr w:type="spellEnd"/>
      <w:r w:rsidR="003D3158">
        <w:rPr>
          <w:rFonts w:ascii="Arial" w:hAnsi="Arial" w:cs="Arial"/>
          <w:bCs/>
          <w:color w:val="000000"/>
          <w:sz w:val="26"/>
          <w:szCs w:val="26"/>
          <w:lang w:val="es-MX"/>
        </w:rPr>
        <w:t>, Oaxaca.</w:t>
      </w:r>
    </w:p>
    <w:p w14:paraId="02B7C34A" w14:textId="7F9F6590" w:rsidR="003D3158" w:rsidRDefault="00C67C29" w:rsidP="003D3158">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Que en</w:t>
      </w:r>
      <w:r w:rsidR="003D3158">
        <w:rPr>
          <w:rFonts w:ascii="Arial" w:hAnsi="Arial" w:cs="Arial"/>
          <w:bCs/>
          <w:color w:val="000000"/>
          <w:sz w:val="26"/>
          <w:szCs w:val="26"/>
          <w:lang w:val="es-MX"/>
        </w:rPr>
        <w:t xml:space="preserve"> la sentencia en estudio, se deduce que la </w:t>
      </w:r>
      <w:proofErr w:type="spellStart"/>
      <w:r w:rsidR="003D3158">
        <w:rPr>
          <w:rFonts w:ascii="Arial" w:hAnsi="Arial" w:cs="Arial"/>
          <w:bCs/>
          <w:color w:val="000000"/>
          <w:sz w:val="26"/>
          <w:szCs w:val="26"/>
          <w:lang w:val="es-MX"/>
        </w:rPr>
        <w:t>Aquo</w:t>
      </w:r>
      <w:proofErr w:type="spellEnd"/>
      <w:r w:rsidR="003D3158">
        <w:rPr>
          <w:rFonts w:ascii="Arial" w:hAnsi="Arial" w:cs="Arial"/>
          <w:bCs/>
          <w:color w:val="000000"/>
          <w:sz w:val="26"/>
          <w:szCs w:val="26"/>
          <w:lang w:val="es-MX"/>
        </w:rPr>
        <w:t xml:space="preserve"> en ningún momento se pronunció respecto a la Orden de publicación en el Periódico Oficial del Estado, reposición o expedición de alta vehicular, y expedición del oficio de </w:t>
      </w:r>
      <w:proofErr w:type="spellStart"/>
      <w:r w:rsidR="003D3158">
        <w:rPr>
          <w:rFonts w:ascii="Arial" w:hAnsi="Arial" w:cs="Arial"/>
          <w:bCs/>
          <w:color w:val="000000"/>
          <w:sz w:val="26"/>
          <w:szCs w:val="26"/>
          <w:lang w:val="es-MX"/>
        </w:rPr>
        <w:t>emplacamiento</w:t>
      </w:r>
      <w:proofErr w:type="spellEnd"/>
      <w:r w:rsidR="003D3158">
        <w:rPr>
          <w:rFonts w:ascii="Arial" w:hAnsi="Arial" w:cs="Arial"/>
          <w:bCs/>
          <w:color w:val="000000"/>
          <w:sz w:val="26"/>
          <w:szCs w:val="26"/>
          <w:lang w:val="es-MX"/>
        </w:rPr>
        <w:t xml:space="preserve">, respecto de la concesión que ostento, </w:t>
      </w:r>
      <w:r w:rsidR="009F0391">
        <w:rPr>
          <w:rFonts w:ascii="Arial" w:hAnsi="Arial" w:cs="Arial"/>
          <w:b/>
          <w:bCs/>
          <w:color w:val="000000"/>
          <w:sz w:val="26"/>
          <w:szCs w:val="26"/>
          <w:lang w:val="es-MX"/>
        </w:rPr>
        <w:t>menos aún entró</w:t>
      </w:r>
      <w:r w:rsidR="003D3158">
        <w:rPr>
          <w:rFonts w:ascii="Arial" w:hAnsi="Arial" w:cs="Arial"/>
          <w:b/>
          <w:bCs/>
          <w:color w:val="000000"/>
          <w:sz w:val="26"/>
          <w:szCs w:val="26"/>
          <w:lang w:val="es-MX"/>
        </w:rPr>
        <w:t xml:space="preserve"> al estudio sobre la expedición de la boleta de certeza jurídica, </w:t>
      </w:r>
      <w:r w:rsidR="003D3158">
        <w:rPr>
          <w:rFonts w:ascii="Arial" w:hAnsi="Arial" w:cs="Arial"/>
          <w:bCs/>
          <w:color w:val="000000"/>
          <w:sz w:val="26"/>
          <w:szCs w:val="26"/>
          <w:lang w:val="es-MX"/>
        </w:rPr>
        <w:t xml:space="preserve">puesto que sólo se ocupó de </w:t>
      </w:r>
      <w:r>
        <w:rPr>
          <w:rFonts w:ascii="Arial" w:hAnsi="Arial" w:cs="Arial"/>
          <w:bCs/>
          <w:color w:val="000000"/>
          <w:sz w:val="26"/>
          <w:szCs w:val="26"/>
          <w:lang w:val="es-MX"/>
        </w:rPr>
        <w:t>hablar sobre la renovación de su</w:t>
      </w:r>
      <w:r w:rsidR="003D3158">
        <w:rPr>
          <w:rFonts w:ascii="Arial" w:hAnsi="Arial" w:cs="Arial"/>
          <w:bCs/>
          <w:color w:val="000000"/>
          <w:sz w:val="26"/>
          <w:szCs w:val="26"/>
          <w:lang w:val="es-MX"/>
        </w:rPr>
        <w:t xml:space="preserve"> concesión y la caducidad de la misma. En ese ten</w:t>
      </w:r>
      <w:r>
        <w:rPr>
          <w:rFonts w:ascii="Arial" w:hAnsi="Arial" w:cs="Arial"/>
          <w:bCs/>
          <w:color w:val="000000"/>
          <w:sz w:val="26"/>
          <w:szCs w:val="26"/>
          <w:lang w:val="es-MX"/>
        </w:rPr>
        <w:t xml:space="preserve">or es obvio que tal omisión, lo </w:t>
      </w:r>
      <w:r w:rsidR="003D3158">
        <w:rPr>
          <w:rFonts w:ascii="Arial" w:hAnsi="Arial" w:cs="Arial"/>
          <w:bCs/>
          <w:color w:val="000000"/>
          <w:sz w:val="26"/>
          <w:szCs w:val="26"/>
          <w:lang w:val="es-MX"/>
        </w:rPr>
        <w:t xml:space="preserve">deja inaudito, porque se violaron en </w:t>
      </w:r>
      <w:r>
        <w:rPr>
          <w:rFonts w:ascii="Arial" w:hAnsi="Arial" w:cs="Arial"/>
          <w:bCs/>
          <w:color w:val="000000"/>
          <w:sz w:val="26"/>
          <w:szCs w:val="26"/>
          <w:lang w:val="es-MX"/>
        </w:rPr>
        <w:t xml:space="preserve">su </w:t>
      </w:r>
      <w:r w:rsidR="003D3158">
        <w:rPr>
          <w:rFonts w:ascii="Arial" w:hAnsi="Arial" w:cs="Arial"/>
          <w:bCs/>
          <w:color w:val="000000"/>
          <w:sz w:val="26"/>
          <w:szCs w:val="26"/>
          <w:lang w:val="es-MX"/>
        </w:rPr>
        <w:t>perjuicio los artículos 176 y 177 de la Ley de Just</w:t>
      </w:r>
      <w:r>
        <w:rPr>
          <w:rFonts w:ascii="Arial" w:hAnsi="Arial" w:cs="Arial"/>
          <w:bCs/>
          <w:color w:val="000000"/>
          <w:sz w:val="26"/>
          <w:szCs w:val="26"/>
          <w:lang w:val="es-MX"/>
        </w:rPr>
        <w:t xml:space="preserve">icia Administrativa del Estado. </w:t>
      </w:r>
    </w:p>
    <w:p w14:paraId="5C0D6C53" w14:textId="77777777" w:rsidR="005F62FE" w:rsidRDefault="005F62FE" w:rsidP="003D3158">
      <w:pPr>
        <w:pStyle w:val="Sinespaciado"/>
        <w:spacing w:before="240" w:line="360" w:lineRule="auto"/>
        <w:jc w:val="both"/>
        <w:rPr>
          <w:rFonts w:ascii="Arial" w:hAnsi="Arial" w:cs="Arial"/>
          <w:b/>
          <w:bCs/>
          <w:color w:val="000000"/>
          <w:sz w:val="26"/>
          <w:szCs w:val="26"/>
          <w:lang w:val="es-MX"/>
        </w:rPr>
      </w:pPr>
    </w:p>
    <w:p w14:paraId="5550F1CA" w14:textId="6B974480" w:rsidR="00EF1CA2" w:rsidRDefault="00EF1CA2" w:rsidP="00EF1CA2">
      <w:pPr>
        <w:spacing w:line="360" w:lineRule="auto"/>
        <w:ind w:firstLine="709"/>
        <w:jc w:val="both"/>
        <w:rPr>
          <w:rFonts w:ascii="Arial" w:eastAsia="Calibri" w:hAnsi="Arial" w:cs="Arial"/>
          <w:bCs/>
          <w:sz w:val="26"/>
          <w:szCs w:val="26"/>
        </w:rPr>
      </w:pPr>
      <w:r w:rsidRPr="009F0391">
        <w:rPr>
          <w:rFonts w:ascii="Arial" w:eastAsia="Calibri" w:hAnsi="Arial" w:cs="Arial"/>
          <w:b/>
          <w:bCs/>
          <w:sz w:val="26"/>
          <w:szCs w:val="26"/>
        </w:rPr>
        <w:t>Del análisis</w:t>
      </w:r>
      <w:r>
        <w:rPr>
          <w:rFonts w:ascii="Arial" w:eastAsia="Calibri" w:hAnsi="Arial" w:cs="Arial"/>
          <w:bCs/>
          <w:sz w:val="26"/>
          <w:szCs w:val="26"/>
        </w:rPr>
        <w:t xml:space="preserve"> a las constancias que integran el expediente de primera instancia a las que se les concede pleno valor probatorio de conformidad con lo dispuesto por la fracción I, del artículo 173 de la Ley de Justicia Administrativa para el Estado de Oaxaca,</w:t>
      </w:r>
      <w:r w:rsidR="00714274">
        <w:rPr>
          <w:rFonts w:ascii="Arial" w:eastAsia="Calibri" w:hAnsi="Arial" w:cs="Arial"/>
          <w:bCs/>
          <w:sz w:val="26"/>
          <w:szCs w:val="26"/>
        </w:rPr>
        <w:t xml:space="preserve"> vigente hasta el veinte de octubre de dos mil diecisiete,</w:t>
      </w:r>
      <w:r>
        <w:rPr>
          <w:rFonts w:ascii="Arial" w:eastAsia="Calibri" w:hAnsi="Arial" w:cs="Arial"/>
          <w:bCs/>
          <w:sz w:val="26"/>
          <w:szCs w:val="26"/>
        </w:rPr>
        <w:t xml:space="preserve"> por tratarse de actuaciones judiciales, se advierte:</w:t>
      </w:r>
    </w:p>
    <w:p w14:paraId="1D58C33A" w14:textId="77777777" w:rsidR="00EF1CA2" w:rsidRDefault="00EF1CA2" w:rsidP="00EF1CA2">
      <w:pPr>
        <w:spacing w:line="360" w:lineRule="auto"/>
        <w:ind w:left="709" w:right="474" w:firstLine="709"/>
        <w:jc w:val="both"/>
        <w:rPr>
          <w:rFonts w:ascii="Arial" w:eastAsia="Calibri" w:hAnsi="Arial" w:cs="Arial"/>
          <w:bCs/>
          <w:sz w:val="26"/>
          <w:szCs w:val="26"/>
        </w:rPr>
      </w:pPr>
    </w:p>
    <w:p w14:paraId="3329BAD2" w14:textId="5679A3A2" w:rsidR="00EF390A" w:rsidRPr="009F0391" w:rsidRDefault="009F0391" w:rsidP="00EF390A">
      <w:pPr>
        <w:pStyle w:val="Prrafodelista"/>
        <w:spacing w:line="360" w:lineRule="auto"/>
        <w:ind w:left="709" w:right="474"/>
        <w:jc w:val="both"/>
        <w:rPr>
          <w:rFonts w:ascii="Arial" w:eastAsia="Calibri" w:hAnsi="Arial" w:cs="Arial"/>
          <w:bCs/>
        </w:rPr>
      </w:pPr>
      <w:r>
        <w:rPr>
          <w:rFonts w:ascii="Arial" w:eastAsia="Calibri" w:hAnsi="Arial" w:cs="Arial"/>
          <w:bCs/>
          <w:sz w:val="26"/>
          <w:szCs w:val="26"/>
        </w:rPr>
        <w:tab/>
      </w:r>
      <w:r w:rsidR="00EF390A" w:rsidRPr="009F0391">
        <w:rPr>
          <w:rFonts w:ascii="Arial" w:eastAsia="Calibri" w:hAnsi="Arial" w:cs="Arial"/>
          <w:bCs/>
        </w:rPr>
        <w:t>1.-  E</w:t>
      </w:r>
      <w:r w:rsidR="00EF1CA2" w:rsidRPr="009F0391">
        <w:rPr>
          <w:rFonts w:ascii="Arial" w:eastAsia="Calibri" w:hAnsi="Arial" w:cs="Arial"/>
          <w:bCs/>
        </w:rPr>
        <w:t xml:space="preserve">l </w:t>
      </w:r>
      <w:r w:rsidR="00EF390A" w:rsidRPr="009F0391">
        <w:rPr>
          <w:rFonts w:ascii="Arial" w:eastAsia="Calibri" w:hAnsi="Arial" w:cs="Arial"/>
          <w:bCs/>
        </w:rPr>
        <w:t xml:space="preserve">escrito de demanda presentado el veinticinco de agosto de dos mil quince, el </w:t>
      </w:r>
      <w:r w:rsidR="00EF1CA2" w:rsidRPr="009F0391">
        <w:rPr>
          <w:rFonts w:ascii="Arial" w:eastAsia="Calibri" w:hAnsi="Arial" w:cs="Arial"/>
          <w:bCs/>
        </w:rPr>
        <w:t>aquí recurrente demandó la</w:t>
      </w:r>
      <w:r w:rsidR="009B0389" w:rsidRPr="009F0391">
        <w:rPr>
          <w:rFonts w:ascii="Arial" w:eastAsia="Calibri" w:hAnsi="Arial" w:cs="Arial"/>
          <w:bCs/>
        </w:rPr>
        <w:t xml:space="preserve"> configuración </w:t>
      </w:r>
      <w:r w:rsidR="00EF1CA2" w:rsidRPr="009F0391">
        <w:rPr>
          <w:rFonts w:ascii="Arial" w:eastAsia="Calibri" w:hAnsi="Arial" w:cs="Arial"/>
          <w:bCs/>
        </w:rPr>
        <w:t xml:space="preserve"> </w:t>
      </w:r>
      <w:r w:rsidR="009B0389" w:rsidRPr="009F0391">
        <w:rPr>
          <w:rFonts w:ascii="Arial" w:eastAsia="Calibri" w:hAnsi="Arial" w:cs="Arial"/>
          <w:bCs/>
        </w:rPr>
        <w:t xml:space="preserve">y </w:t>
      </w:r>
      <w:r w:rsidR="00EF1CA2" w:rsidRPr="009F0391">
        <w:rPr>
          <w:rFonts w:ascii="Arial" w:eastAsia="Calibri" w:hAnsi="Arial" w:cs="Arial"/>
          <w:bCs/>
        </w:rPr>
        <w:t>nulidad de la resolución</w:t>
      </w:r>
      <w:r w:rsidR="00EF390A" w:rsidRPr="009F0391">
        <w:rPr>
          <w:rFonts w:ascii="Arial" w:eastAsia="Calibri" w:hAnsi="Arial" w:cs="Arial"/>
          <w:bCs/>
        </w:rPr>
        <w:t xml:space="preserve"> negativa ficta </w:t>
      </w:r>
      <w:r w:rsidR="009B0389" w:rsidRPr="009F0391">
        <w:rPr>
          <w:rFonts w:ascii="Arial" w:eastAsia="Calibri" w:hAnsi="Arial" w:cs="Arial"/>
          <w:bCs/>
        </w:rPr>
        <w:t>que recayó en la omisión de acordar lo solicitado en el escrito de 12 de abril de 2007, en el c</w:t>
      </w:r>
      <w:r w:rsidRPr="009F0391">
        <w:rPr>
          <w:rFonts w:ascii="Arial" w:eastAsia="Calibri" w:hAnsi="Arial" w:cs="Arial"/>
          <w:bCs/>
        </w:rPr>
        <w:t>ual solicitó</w:t>
      </w:r>
      <w:r w:rsidR="009B0389" w:rsidRPr="009F0391">
        <w:rPr>
          <w:rFonts w:ascii="Arial" w:eastAsia="Calibri" w:hAnsi="Arial" w:cs="Arial"/>
          <w:bCs/>
        </w:rPr>
        <w:t xml:space="preserve"> el ot</w:t>
      </w:r>
      <w:r w:rsidR="00EF390A" w:rsidRPr="009F0391">
        <w:rPr>
          <w:rFonts w:ascii="Arial" w:eastAsia="Calibri" w:hAnsi="Arial" w:cs="Arial"/>
          <w:bCs/>
        </w:rPr>
        <w:t>o</w:t>
      </w:r>
      <w:r w:rsidR="009B0389" w:rsidRPr="009F0391">
        <w:rPr>
          <w:rFonts w:ascii="Arial" w:eastAsia="Calibri" w:hAnsi="Arial" w:cs="Arial"/>
          <w:bCs/>
        </w:rPr>
        <w:t>rgamiento o expedición de la boleta de certeza jurídica y orden de publicación  en el periódico oficia</w:t>
      </w:r>
      <w:r w:rsidR="00EF390A" w:rsidRPr="009F0391">
        <w:rPr>
          <w:rFonts w:ascii="Arial" w:eastAsia="Calibri" w:hAnsi="Arial" w:cs="Arial"/>
          <w:bCs/>
        </w:rPr>
        <w:t>l del estado, respecto del acuerdo  de concesión 15051 de 18 de octubre de 2004, así como el escrito de 29 de enero de 2008 en el que solicitó  cambio del  vehícu</w:t>
      </w:r>
      <w:r w:rsidR="007E101F" w:rsidRPr="009F0391">
        <w:rPr>
          <w:rFonts w:ascii="Arial" w:eastAsia="Calibri" w:hAnsi="Arial" w:cs="Arial"/>
          <w:bCs/>
        </w:rPr>
        <w:t>lo  con la que venía explotando</w:t>
      </w:r>
      <w:r w:rsidR="00EF390A" w:rsidRPr="009F0391">
        <w:rPr>
          <w:rFonts w:ascii="Arial" w:eastAsia="Calibri" w:hAnsi="Arial" w:cs="Arial"/>
          <w:bCs/>
        </w:rPr>
        <w:t>,</w:t>
      </w:r>
      <w:r w:rsidR="007E101F" w:rsidRPr="009F0391">
        <w:rPr>
          <w:rFonts w:ascii="Arial" w:eastAsia="Calibri" w:hAnsi="Arial" w:cs="Arial"/>
          <w:bCs/>
        </w:rPr>
        <w:t xml:space="preserve"> </w:t>
      </w:r>
      <w:r w:rsidR="00EF390A" w:rsidRPr="009F0391">
        <w:rPr>
          <w:rFonts w:ascii="Arial" w:eastAsia="Calibri" w:hAnsi="Arial" w:cs="Arial"/>
          <w:bCs/>
        </w:rPr>
        <w:t xml:space="preserve">mediante expedición de la reposición  de alta vehicular  o alta de unidad  y oficio de </w:t>
      </w:r>
      <w:proofErr w:type="spellStart"/>
      <w:r w:rsidR="00EF390A" w:rsidRPr="009F0391">
        <w:rPr>
          <w:rFonts w:ascii="Arial" w:eastAsia="Calibri" w:hAnsi="Arial" w:cs="Arial"/>
          <w:bCs/>
        </w:rPr>
        <w:t>emplacamiento</w:t>
      </w:r>
      <w:proofErr w:type="spellEnd"/>
      <w:r w:rsidR="00EF390A" w:rsidRPr="009F0391">
        <w:rPr>
          <w:rFonts w:ascii="Arial" w:eastAsia="Calibri" w:hAnsi="Arial" w:cs="Arial"/>
          <w:bCs/>
        </w:rPr>
        <w:t xml:space="preserve"> respectivo.</w:t>
      </w:r>
      <w:r w:rsidR="005401C9" w:rsidRPr="009F0391">
        <w:rPr>
          <w:rFonts w:ascii="Arial" w:eastAsia="Calibri" w:hAnsi="Arial" w:cs="Arial"/>
          <w:bCs/>
        </w:rPr>
        <w:t xml:space="preserve"> Anexando entre  otras</w:t>
      </w:r>
      <w:r w:rsidR="00AA2AE7" w:rsidRPr="009F0391">
        <w:rPr>
          <w:rFonts w:ascii="Arial" w:eastAsia="Calibri" w:hAnsi="Arial" w:cs="Arial"/>
          <w:bCs/>
        </w:rPr>
        <w:t xml:space="preserve"> probanzas el escrito de fecha </w:t>
      </w:r>
      <w:r w:rsidR="005401C9" w:rsidRPr="009F0391">
        <w:rPr>
          <w:rFonts w:ascii="Arial" w:eastAsia="Calibri" w:hAnsi="Arial" w:cs="Arial"/>
          <w:bCs/>
        </w:rPr>
        <w:t xml:space="preserve">12 de abril de 2007 y presentado con la misma fecha ante el Coordinador General del Transporte del Estado, en el que solicitó  la publicación  en el periódico oficial,  el otorgamiento de alta de unidad u oficio de </w:t>
      </w:r>
      <w:proofErr w:type="spellStart"/>
      <w:r w:rsidR="005401C9" w:rsidRPr="009F0391">
        <w:rPr>
          <w:rFonts w:ascii="Arial" w:eastAsia="Calibri" w:hAnsi="Arial" w:cs="Arial"/>
          <w:bCs/>
        </w:rPr>
        <w:t>emplacamiento</w:t>
      </w:r>
      <w:proofErr w:type="spellEnd"/>
      <w:r w:rsidR="005401C9" w:rsidRPr="009F0391">
        <w:rPr>
          <w:rFonts w:ascii="Arial" w:eastAsia="Calibri" w:hAnsi="Arial" w:cs="Arial"/>
          <w:bCs/>
        </w:rPr>
        <w:t xml:space="preserve"> para el </w:t>
      </w:r>
      <w:r w:rsidR="00AA2AE7" w:rsidRPr="009F0391">
        <w:rPr>
          <w:rFonts w:ascii="Arial" w:eastAsia="Calibri" w:hAnsi="Arial" w:cs="Arial"/>
          <w:bCs/>
        </w:rPr>
        <w:t>vehículo</w:t>
      </w:r>
      <w:r w:rsidR="005401C9" w:rsidRPr="009F0391">
        <w:rPr>
          <w:rFonts w:ascii="Arial" w:eastAsia="Calibri" w:hAnsi="Arial" w:cs="Arial"/>
          <w:bCs/>
        </w:rPr>
        <w:t xml:space="preserve"> con el que trab</w:t>
      </w:r>
      <w:r w:rsidR="00AA2AE7" w:rsidRPr="009F0391">
        <w:rPr>
          <w:rFonts w:ascii="Arial" w:eastAsia="Calibri" w:hAnsi="Arial" w:cs="Arial"/>
          <w:bCs/>
        </w:rPr>
        <w:t>aja; y el escrito de 29</w:t>
      </w:r>
      <w:r w:rsidR="005401C9" w:rsidRPr="009F0391">
        <w:rPr>
          <w:rFonts w:ascii="Arial" w:eastAsia="Calibri" w:hAnsi="Arial" w:cs="Arial"/>
          <w:bCs/>
        </w:rPr>
        <w:t xml:space="preserve"> de enero de</w:t>
      </w:r>
      <w:r w:rsidR="00AA2AE7" w:rsidRPr="009F0391">
        <w:rPr>
          <w:rFonts w:ascii="Arial" w:eastAsia="Calibri" w:hAnsi="Arial" w:cs="Arial"/>
          <w:bCs/>
        </w:rPr>
        <w:t xml:space="preserve"> 2008 y presentado en la misma ante  la autoridad administrativa en el que solicito  el alta de unidad o cambio de vehículo y la reiteración de solicitud del formato de papel de seguridad de certeza jurídica. </w:t>
      </w:r>
    </w:p>
    <w:p w14:paraId="0907F03E" w14:textId="6C389770" w:rsidR="00EF390A" w:rsidRPr="009F0391" w:rsidRDefault="009F0391" w:rsidP="00AA2AE7">
      <w:pPr>
        <w:pStyle w:val="Prrafodelista"/>
        <w:spacing w:line="360" w:lineRule="auto"/>
        <w:ind w:left="709" w:right="474"/>
        <w:jc w:val="both"/>
        <w:rPr>
          <w:rFonts w:ascii="Arial" w:eastAsia="Calibri" w:hAnsi="Arial" w:cs="Arial"/>
          <w:bCs/>
        </w:rPr>
      </w:pPr>
      <w:r w:rsidRPr="009F0391">
        <w:rPr>
          <w:rFonts w:ascii="Arial" w:eastAsia="Calibri" w:hAnsi="Arial" w:cs="Arial"/>
          <w:bCs/>
        </w:rPr>
        <w:tab/>
      </w:r>
      <w:r w:rsidR="00AA2AE7" w:rsidRPr="009F0391">
        <w:rPr>
          <w:rFonts w:ascii="Arial" w:eastAsia="Calibri" w:hAnsi="Arial" w:cs="Arial"/>
          <w:bCs/>
        </w:rPr>
        <w:t>2.-  Mediante auto de fecha veintisiete de ago</w:t>
      </w:r>
      <w:r w:rsidRPr="009F0391">
        <w:rPr>
          <w:rFonts w:ascii="Arial" w:eastAsia="Calibri" w:hAnsi="Arial" w:cs="Arial"/>
          <w:bCs/>
        </w:rPr>
        <w:t>sto de dos mil quince, se radicó</w:t>
      </w:r>
      <w:r w:rsidR="00AA2AE7" w:rsidRPr="009F0391">
        <w:rPr>
          <w:rFonts w:ascii="Arial" w:eastAsia="Calibri" w:hAnsi="Arial" w:cs="Arial"/>
          <w:bCs/>
        </w:rPr>
        <w:t xml:space="preserve"> y se admitió la demanda de nulidad de las resoluciones negativa ficta recaídas en los escritos de petición de: a) 12 de a</w:t>
      </w:r>
      <w:r w:rsidRPr="009F0391">
        <w:rPr>
          <w:rFonts w:ascii="Arial" w:eastAsia="Calibri" w:hAnsi="Arial" w:cs="Arial"/>
          <w:bCs/>
        </w:rPr>
        <w:t>bril de 2007 por el que solicitó</w:t>
      </w:r>
      <w:r w:rsidR="00AA2AE7" w:rsidRPr="009F0391">
        <w:rPr>
          <w:rFonts w:ascii="Arial" w:eastAsia="Calibri" w:hAnsi="Arial" w:cs="Arial"/>
          <w:bCs/>
        </w:rPr>
        <w:t xml:space="preserve">  el otorgamiento de boleta de certeza jurídica y orden de publicación en el </w:t>
      </w:r>
      <w:r w:rsidR="00BB4092" w:rsidRPr="009F0391">
        <w:rPr>
          <w:rFonts w:ascii="Arial" w:eastAsia="Calibri" w:hAnsi="Arial" w:cs="Arial"/>
          <w:bCs/>
        </w:rPr>
        <w:t>P</w:t>
      </w:r>
      <w:r w:rsidR="00AA2AE7" w:rsidRPr="009F0391">
        <w:rPr>
          <w:rFonts w:ascii="Arial" w:eastAsia="Calibri" w:hAnsi="Arial" w:cs="Arial"/>
          <w:bCs/>
        </w:rPr>
        <w:t>eriódico</w:t>
      </w:r>
      <w:r w:rsidR="00BB4092" w:rsidRPr="009F0391">
        <w:rPr>
          <w:rFonts w:ascii="Arial" w:eastAsia="Calibri" w:hAnsi="Arial" w:cs="Arial"/>
          <w:bCs/>
        </w:rPr>
        <w:t xml:space="preserve"> O</w:t>
      </w:r>
      <w:r w:rsidR="00AA2AE7" w:rsidRPr="009F0391">
        <w:rPr>
          <w:rFonts w:ascii="Arial" w:eastAsia="Calibri" w:hAnsi="Arial" w:cs="Arial"/>
          <w:bCs/>
        </w:rPr>
        <w:t>ficial  del Gobierno del Estado</w:t>
      </w:r>
      <w:r w:rsidR="00BB4092" w:rsidRPr="009F0391">
        <w:rPr>
          <w:rFonts w:ascii="Arial" w:eastAsia="Calibri" w:hAnsi="Arial" w:cs="Arial"/>
          <w:bCs/>
        </w:rPr>
        <w:t xml:space="preserve"> de O</w:t>
      </w:r>
      <w:r w:rsidR="00AA2AE7" w:rsidRPr="009F0391">
        <w:rPr>
          <w:rFonts w:ascii="Arial" w:eastAsia="Calibri" w:hAnsi="Arial" w:cs="Arial"/>
          <w:bCs/>
        </w:rPr>
        <w:t xml:space="preserve">axaca, del acuerdo de </w:t>
      </w:r>
      <w:r w:rsidR="00BB4092" w:rsidRPr="009F0391">
        <w:rPr>
          <w:rFonts w:ascii="Arial" w:eastAsia="Calibri" w:hAnsi="Arial" w:cs="Arial"/>
          <w:bCs/>
        </w:rPr>
        <w:t xml:space="preserve">concesión </w:t>
      </w:r>
      <w:r w:rsidR="00AA2AE7" w:rsidRPr="009F0391">
        <w:rPr>
          <w:rFonts w:ascii="Arial" w:eastAsia="Calibri" w:hAnsi="Arial" w:cs="Arial"/>
          <w:bCs/>
        </w:rPr>
        <w:t>15051 de fecha 18 de octubre de 2004 y, b) de 29 de enero de d</w:t>
      </w:r>
      <w:r w:rsidR="00BB4092" w:rsidRPr="009F0391">
        <w:rPr>
          <w:rFonts w:ascii="Arial" w:eastAsia="Calibri" w:hAnsi="Arial" w:cs="Arial"/>
          <w:bCs/>
        </w:rPr>
        <w:t>os mil ocho, por el que solicitó</w:t>
      </w:r>
      <w:r w:rsidR="00AA2AE7" w:rsidRPr="009F0391">
        <w:rPr>
          <w:rFonts w:ascii="Arial" w:eastAsia="Calibri" w:hAnsi="Arial" w:cs="Arial"/>
          <w:bCs/>
        </w:rPr>
        <w:t xml:space="preserve"> cambio de </w:t>
      </w:r>
      <w:r w:rsidR="00BB4092" w:rsidRPr="009F0391">
        <w:rPr>
          <w:rFonts w:ascii="Arial" w:eastAsia="Calibri" w:hAnsi="Arial" w:cs="Arial"/>
          <w:bCs/>
        </w:rPr>
        <w:t>vehículo</w:t>
      </w:r>
      <w:r w:rsidR="00AA2AE7" w:rsidRPr="009F0391">
        <w:rPr>
          <w:rFonts w:ascii="Arial" w:eastAsia="Calibri" w:hAnsi="Arial" w:cs="Arial"/>
          <w:bCs/>
        </w:rPr>
        <w:t xml:space="preserve"> para prestar el servicio </w:t>
      </w:r>
      <w:r w:rsidR="00BB4092" w:rsidRPr="009F0391">
        <w:rPr>
          <w:rFonts w:ascii="Arial" w:eastAsia="Calibri" w:hAnsi="Arial" w:cs="Arial"/>
          <w:bCs/>
        </w:rPr>
        <w:t>público</w:t>
      </w:r>
      <w:r w:rsidR="00AA2AE7" w:rsidRPr="009F0391">
        <w:rPr>
          <w:rFonts w:ascii="Arial" w:eastAsia="Calibri" w:hAnsi="Arial" w:cs="Arial"/>
          <w:bCs/>
        </w:rPr>
        <w:t xml:space="preserve"> de alquiler  taxi</w:t>
      </w:r>
      <w:r w:rsidR="00E72C96" w:rsidRPr="009F0391">
        <w:rPr>
          <w:rFonts w:ascii="Arial" w:eastAsia="Calibri" w:hAnsi="Arial" w:cs="Arial"/>
          <w:bCs/>
        </w:rPr>
        <w:t xml:space="preserve">, atribuidas al SECRETARIO DE VIALIDAD Y TRANSPORTE DEL ESTADO DE OAXACA, así como la nulidad de las órdenes verbales o escritas para detener  o remitir al encierro  el vehículo de su propiedad, atribuida al JEFE OPERATIVO DE LA DIRECCION DE TRANSITO DEL ESTADO  EN LA VILLA DE ETLA, OAXACA y al DIRECTOR DE TRANSITO DEL ESTADO, </w:t>
      </w:r>
      <w:r w:rsidR="002033B0" w:rsidRPr="009F0391">
        <w:rPr>
          <w:rFonts w:ascii="Arial" w:eastAsia="Calibri" w:hAnsi="Arial" w:cs="Arial"/>
          <w:bCs/>
        </w:rPr>
        <w:t>ordenándose</w:t>
      </w:r>
      <w:r w:rsidR="00E72C96" w:rsidRPr="009F0391">
        <w:rPr>
          <w:rFonts w:ascii="Arial" w:eastAsia="Calibri" w:hAnsi="Arial" w:cs="Arial"/>
          <w:bCs/>
        </w:rPr>
        <w:t xml:space="preserve"> a notificar</w:t>
      </w:r>
      <w:r w:rsidR="002033B0" w:rsidRPr="009F0391">
        <w:rPr>
          <w:rFonts w:ascii="Arial" w:eastAsia="Calibri" w:hAnsi="Arial" w:cs="Arial"/>
          <w:bCs/>
        </w:rPr>
        <w:t xml:space="preserve">, emplazar y correr traslado  con la copia simple de demanda y anexos a los codemandados. </w:t>
      </w:r>
    </w:p>
    <w:p w14:paraId="761ABA78" w14:textId="3D39DC86" w:rsidR="004A14E0" w:rsidRPr="009F0391" w:rsidRDefault="009F0391" w:rsidP="005D60F9">
      <w:pPr>
        <w:pStyle w:val="Prrafodelista"/>
        <w:spacing w:line="360" w:lineRule="auto"/>
        <w:ind w:left="709" w:right="474"/>
        <w:jc w:val="both"/>
        <w:rPr>
          <w:rFonts w:ascii="Arial" w:eastAsia="Calibri" w:hAnsi="Arial" w:cs="Arial"/>
          <w:bCs/>
        </w:rPr>
      </w:pPr>
      <w:r w:rsidRPr="009F0391">
        <w:rPr>
          <w:rFonts w:ascii="Arial" w:eastAsia="Calibri" w:hAnsi="Arial" w:cs="Arial"/>
          <w:bCs/>
        </w:rPr>
        <w:tab/>
      </w:r>
      <w:r w:rsidR="002033B0" w:rsidRPr="009F0391">
        <w:rPr>
          <w:rFonts w:ascii="Arial" w:eastAsia="Calibri" w:hAnsi="Arial" w:cs="Arial"/>
          <w:bCs/>
        </w:rPr>
        <w:t xml:space="preserve">3.- </w:t>
      </w:r>
      <w:r w:rsidR="00CA1430" w:rsidRPr="009F0391">
        <w:rPr>
          <w:rFonts w:ascii="Arial" w:eastAsia="Calibri" w:hAnsi="Arial" w:cs="Arial"/>
          <w:bCs/>
        </w:rPr>
        <w:t xml:space="preserve">Mediante auto </w:t>
      </w:r>
      <w:r w:rsidR="004A14E0" w:rsidRPr="009F0391">
        <w:rPr>
          <w:rFonts w:ascii="Arial" w:eastAsia="Calibri" w:hAnsi="Arial" w:cs="Arial"/>
          <w:bCs/>
        </w:rPr>
        <w:t xml:space="preserve">de cuatro de diciembre de dos mil quince, se tuvo a los codemandados contestando en sentido afirmativo, en </w:t>
      </w:r>
      <w:r w:rsidRPr="009F0391">
        <w:rPr>
          <w:rFonts w:ascii="Arial" w:eastAsia="Calibri" w:hAnsi="Arial" w:cs="Arial"/>
          <w:bCs/>
        </w:rPr>
        <w:t>virtud de</w:t>
      </w:r>
      <w:r>
        <w:rPr>
          <w:rFonts w:ascii="Arial" w:eastAsia="Calibri" w:hAnsi="Arial" w:cs="Arial"/>
          <w:bCs/>
        </w:rPr>
        <w:t xml:space="preserve"> que no exhibieron</w:t>
      </w:r>
      <w:r w:rsidR="004A14E0" w:rsidRPr="009F0391">
        <w:rPr>
          <w:rFonts w:ascii="Arial" w:eastAsia="Calibri" w:hAnsi="Arial" w:cs="Arial"/>
          <w:bCs/>
        </w:rPr>
        <w:t xml:space="preserve"> copia  debidamente certificada del documento relativo a sus nombramientos que les fue conferido  y se le concedió  a la parte actora el plazo de cinco días hábiles,  para que produjera ampliación de su demanda, y se procedió</w:t>
      </w:r>
      <w:r w:rsidR="000D6E3D" w:rsidRPr="009F0391">
        <w:rPr>
          <w:rFonts w:ascii="Arial" w:eastAsia="Calibri" w:hAnsi="Arial" w:cs="Arial"/>
          <w:bCs/>
        </w:rPr>
        <w:t xml:space="preserve"> con</w:t>
      </w:r>
      <w:r w:rsidR="004A14E0" w:rsidRPr="009F0391">
        <w:rPr>
          <w:rFonts w:ascii="Arial" w:eastAsia="Calibri" w:hAnsi="Arial" w:cs="Arial"/>
          <w:bCs/>
        </w:rPr>
        <w:t xml:space="preserve"> la secuela del juicio. </w:t>
      </w:r>
    </w:p>
    <w:p w14:paraId="3191D710" w14:textId="538A9E2F" w:rsidR="00EF1CA2" w:rsidRDefault="004A14E0" w:rsidP="004A14E0">
      <w:pPr>
        <w:spacing w:line="360" w:lineRule="auto"/>
        <w:ind w:right="474"/>
        <w:jc w:val="both"/>
        <w:rPr>
          <w:rFonts w:ascii="Arial" w:eastAsia="Calibri" w:hAnsi="Arial" w:cs="Arial"/>
          <w:bCs/>
          <w:sz w:val="26"/>
          <w:szCs w:val="26"/>
        </w:rPr>
      </w:pPr>
      <w:r>
        <w:rPr>
          <w:rFonts w:ascii="Arial" w:eastAsia="Calibri" w:hAnsi="Arial" w:cs="Arial"/>
          <w:bCs/>
          <w:sz w:val="26"/>
          <w:szCs w:val="26"/>
        </w:rPr>
        <w:t xml:space="preserve"> </w:t>
      </w:r>
      <w:r w:rsidR="005F62FE">
        <w:rPr>
          <w:rFonts w:ascii="Arial" w:eastAsia="Calibri" w:hAnsi="Arial" w:cs="Arial"/>
          <w:bCs/>
          <w:sz w:val="26"/>
          <w:szCs w:val="26"/>
        </w:rPr>
        <w:t xml:space="preserve">           </w:t>
      </w:r>
      <w:r>
        <w:rPr>
          <w:rFonts w:ascii="Arial" w:eastAsia="Calibri" w:hAnsi="Arial" w:cs="Arial"/>
          <w:bCs/>
          <w:sz w:val="26"/>
          <w:szCs w:val="26"/>
        </w:rPr>
        <w:t>Po</w:t>
      </w:r>
      <w:r w:rsidR="000D6E3D">
        <w:rPr>
          <w:rFonts w:ascii="Arial" w:eastAsia="Calibri" w:hAnsi="Arial" w:cs="Arial"/>
          <w:bCs/>
          <w:sz w:val="26"/>
          <w:szCs w:val="26"/>
        </w:rPr>
        <w:t>st</w:t>
      </w:r>
      <w:r>
        <w:rPr>
          <w:rFonts w:ascii="Arial" w:eastAsia="Calibri" w:hAnsi="Arial" w:cs="Arial"/>
          <w:bCs/>
          <w:sz w:val="26"/>
          <w:szCs w:val="26"/>
        </w:rPr>
        <w:t>e</w:t>
      </w:r>
      <w:r w:rsidR="000D6E3D">
        <w:rPr>
          <w:rFonts w:ascii="Arial" w:eastAsia="Calibri" w:hAnsi="Arial" w:cs="Arial"/>
          <w:bCs/>
          <w:sz w:val="26"/>
          <w:szCs w:val="26"/>
        </w:rPr>
        <w:t>r</w:t>
      </w:r>
      <w:r>
        <w:rPr>
          <w:rFonts w:ascii="Arial" w:eastAsia="Calibri" w:hAnsi="Arial" w:cs="Arial"/>
          <w:bCs/>
          <w:sz w:val="26"/>
          <w:szCs w:val="26"/>
        </w:rPr>
        <w:t>iormente</w:t>
      </w:r>
      <w:r w:rsidR="005D60F9">
        <w:rPr>
          <w:rFonts w:ascii="Arial" w:eastAsia="Calibri" w:hAnsi="Arial" w:cs="Arial"/>
          <w:bCs/>
          <w:sz w:val="26"/>
          <w:szCs w:val="26"/>
        </w:rPr>
        <w:t xml:space="preserve"> el veintinueve de enero de dos mil dieciocho se emitió la sentencia correspondiente. </w:t>
      </w:r>
    </w:p>
    <w:p w14:paraId="385D93DC" w14:textId="215BA30B" w:rsidR="009F0391" w:rsidRPr="005F62FE" w:rsidRDefault="005F62FE" w:rsidP="005F62FE">
      <w:pPr>
        <w:spacing w:line="360" w:lineRule="auto"/>
        <w:ind w:right="474"/>
        <w:jc w:val="both"/>
        <w:rPr>
          <w:rFonts w:ascii="Arial" w:eastAsia="Calibri" w:hAnsi="Arial" w:cs="Arial"/>
          <w:bCs/>
          <w:sz w:val="26"/>
          <w:szCs w:val="26"/>
        </w:rPr>
      </w:pPr>
      <w:r>
        <w:rPr>
          <w:rFonts w:ascii="Arial" w:eastAsia="Calibri" w:hAnsi="Arial" w:cs="Arial"/>
          <w:bCs/>
          <w:sz w:val="26"/>
          <w:szCs w:val="26"/>
        </w:rPr>
        <w:t xml:space="preserve">          </w:t>
      </w:r>
      <w:r w:rsidR="00EF1CA2" w:rsidRPr="005F62FE">
        <w:rPr>
          <w:rFonts w:ascii="Arial" w:eastAsia="Calibri" w:hAnsi="Arial" w:cs="Arial"/>
          <w:bCs/>
          <w:sz w:val="26"/>
          <w:szCs w:val="26"/>
        </w:rPr>
        <w:t>En la sentencia</w:t>
      </w:r>
      <w:r w:rsidR="005D60F9" w:rsidRPr="005F62FE">
        <w:rPr>
          <w:rFonts w:ascii="Arial" w:eastAsia="Calibri" w:hAnsi="Arial" w:cs="Arial"/>
          <w:bCs/>
          <w:sz w:val="26"/>
          <w:szCs w:val="26"/>
        </w:rPr>
        <w:t xml:space="preserve"> impugnada</w:t>
      </w:r>
      <w:r w:rsidR="00EF1CA2" w:rsidRPr="005F62FE">
        <w:rPr>
          <w:rFonts w:ascii="Arial" w:eastAsia="Calibri" w:hAnsi="Arial" w:cs="Arial"/>
          <w:bCs/>
          <w:sz w:val="26"/>
          <w:szCs w:val="26"/>
        </w:rPr>
        <w:t xml:space="preserve">, la </w:t>
      </w:r>
      <w:proofErr w:type="spellStart"/>
      <w:r w:rsidR="00EF1CA2" w:rsidRPr="005F62FE">
        <w:rPr>
          <w:rFonts w:ascii="Arial" w:eastAsia="Calibri" w:hAnsi="Arial" w:cs="Arial"/>
          <w:bCs/>
          <w:sz w:val="26"/>
          <w:szCs w:val="26"/>
        </w:rPr>
        <w:t>resolutora</w:t>
      </w:r>
      <w:proofErr w:type="spellEnd"/>
      <w:r w:rsidR="00EF1CA2" w:rsidRPr="005F62FE">
        <w:rPr>
          <w:rFonts w:ascii="Arial" w:eastAsia="Calibri" w:hAnsi="Arial" w:cs="Arial"/>
          <w:bCs/>
          <w:sz w:val="26"/>
          <w:szCs w:val="26"/>
        </w:rPr>
        <w:t xml:space="preserve"> de primera instancia,</w:t>
      </w:r>
      <w:r w:rsidR="005D60F9" w:rsidRPr="005F62FE">
        <w:rPr>
          <w:rFonts w:ascii="Arial" w:eastAsia="Calibri" w:hAnsi="Arial" w:cs="Arial"/>
          <w:bCs/>
          <w:sz w:val="26"/>
          <w:szCs w:val="26"/>
        </w:rPr>
        <w:t xml:space="preserve"> en el considerando CUARTO</w:t>
      </w:r>
      <w:r w:rsidR="00EF1CA2" w:rsidRPr="005F62FE">
        <w:rPr>
          <w:rFonts w:ascii="Arial" w:eastAsia="Calibri" w:hAnsi="Arial" w:cs="Arial"/>
          <w:bCs/>
          <w:sz w:val="26"/>
          <w:szCs w:val="26"/>
        </w:rPr>
        <w:t xml:space="preserve"> </w:t>
      </w:r>
      <w:r w:rsidR="009F3C8F" w:rsidRPr="005F62FE">
        <w:rPr>
          <w:rFonts w:ascii="Arial" w:eastAsia="Calibri" w:hAnsi="Arial" w:cs="Arial"/>
          <w:bCs/>
          <w:sz w:val="26"/>
          <w:szCs w:val="26"/>
        </w:rPr>
        <w:t>determinó</w:t>
      </w:r>
      <w:r w:rsidR="009F0391" w:rsidRPr="005F62FE">
        <w:rPr>
          <w:rFonts w:ascii="Arial" w:eastAsia="Calibri" w:hAnsi="Arial" w:cs="Arial"/>
          <w:bCs/>
          <w:sz w:val="26"/>
          <w:szCs w:val="26"/>
        </w:rPr>
        <w:t>:</w:t>
      </w:r>
    </w:p>
    <w:p w14:paraId="4770517B" w14:textId="78FE2E4E" w:rsidR="009F3C8F" w:rsidRPr="009F0391" w:rsidRDefault="009F3C8F" w:rsidP="009F0391">
      <w:pPr>
        <w:pStyle w:val="Prrafodelista"/>
        <w:spacing w:line="360" w:lineRule="auto"/>
        <w:ind w:left="709" w:right="474"/>
        <w:jc w:val="both"/>
        <w:rPr>
          <w:rFonts w:ascii="Arial" w:eastAsia="Calibri" w:hAnsi="Arial" w:cs="Arial"/>
          <w:bCs/>
        </w:rPr>
      </w:pPr>
      <w:r>
        <w:rPr>
          <w:rFonts w:ascii="Arial" w:eastAsia="Calibri" w:hAnsi="Arial" w:cs="Arial"/>
          <w:bCs/>
          <w:sz w:val="26"/>
          <w:szCs w:val="26"/>
        </w:rPr>
        <w:t xml:space="preserve"> </w:t>
      </w:r>
      <w:r w:rsidRPr="009F0391">
        <w:rPr>
          <w:rFonts w:ascii="Arial" w:eastAsia="Calibri" w:hAnsi="Arial" w:cs="Arial"/>
          <w:bCs/>
        </w:rPr>
        <w:t>“ … Al haber quedado acreditada la configuración de la resolución negativa ficta, que no fue emitida por escrito con firma autógrafa, ni fundada y motivada tal negativa, violentando el articulo -7 en sus fracciones IV y V de la  ley de justicia  administrativa para e</w:t>
      </w:r>
      <w:r w:rsidR="007E101F" w:rsidRPr="009F0391">
        <w:rPr>
          <w:rFonts w:ascii="Arial" w:eastAsia="Calibri" w:hAnsi="Arial" w:cs="Arial"/>
          <w:bCs/>
        </w:rPr>
        <w:t>l</w:t>
      </w:r>
      <w:r w:rsidRPr="009F0391">
        <w:rPr>
          <w:rFonts w:ascii="Arial" w:eastAsia="Calibri" w:hAnsi="Arial" w:cs="Arial"/>
          <w:bCs/>
        </w:rPr>
        <w:t xml:space="preserve"> estado de Oaxaca y se DECLARA LA NULIDAD LISA Y LLANA DE LA NEGATIVA FICTA y que esta juzgadora se encuentra obligada al estudio de fondo </w:t>
      </w:r>
      <w:r w:rsidR="008304D2" w:rsidRPr="009F0391">
        <w:rPr>
          <w:rFonts w:ascii="Arial" w:eastAsia="Calibri" w:hAnsi="Arial" w:cs="Arial"/>
          <w:bCs/>
        </w:rPr>
        <w:t xml:space="preserve"> de la legalidad o ilegalidad de dichas resoluciones, en base a las documentales exhibidas;  con fundamento en lo ordenado en el artículo 150 ultima parte de la ley de justicia administrativa para el estado de Oaxaca.”</w:t>
      </w:r>
    </w:p>
    <w:p w14:paraId="705957DC" w14:textId="1F79D552" w:rsidR="00CA1430" w:rsidRPr="00CA1430" w:rsidRDefault="00CA1430" w:rsidP="00CA1430">
      <w:pPr>
        <w:spacing w:line="360" w:lineRule="auto"/>
        <w:ind w:right="474"/>
        <w:jc w:val="both"/>
        <w:rPr>
          <w:rFonts w:ascii="Arial" w:eastAsia="Calibri" w:hAnsi="Arial" w:cs="Arial"/>
          <w:bCs/>
          <w:sz w:val="28"/>
          <w:szCs w:val="28"/>
        </w:rPr>
      </w:pPr>
      <w:r w:rsidRPr="009F0391">
        <w:rPr>
          <w:rFonts w:ascii="Arial" w:eastAsia="Calibri" w:hAnsi="Arial" w:cs="Arial"/>
          <w:bCs/>
          <w:sz w:val="26"/>
          <w:szCs w:val="26"/>
        </w:rPr>
        <w:t>En el considerando QUINTO determinó lo siguiente:</w:t>
      </w:r>
      <w:r w:rsidRPr="00CA1430">
        <w:rPr>
          <w:rFonts w:ascii="Arial" w:eastAsia="Calibri" w:hAnsi="Arial" w:cs="Arial"/>
          <w:bCs/>
          <w:sz w:val="28"/>
          <w:szCs w:val="28"/>
        </w:rPr>
        <w:t xml:space="preserve"> </w:t>
      </w:r>
    </w:p>
    <w:p w14:paraId="2C30A9CC" w14:textId="173313C3" w:rsidR="00CA1430" w:rsidRPr="009F0391" w:rsidRDefault="00CA1430" w:rsidP="00CA1430">
      <w:pPr>
        <w:spacing w:line="360" w:lineRule="auto"/>
        <w:ind w:left="567" w:right="474"/>
        <w:jc w:val="both"/>
        <w:rPr>
          <w:rFonts w:ascii="Arial" w:eastAsia="Calibri" w:hAnsi="Arial" w:cs="Arial"/>
          <w:bCs/>
          <w:color w:val="000000" w:themeColor="text1"/>
        </w:rPr>
      </w:pPr>
      <w:r w:rsidRPr="009F0391">
        <w:rPr>
          <w:rFonts w:ascii="Arial" w:eastAsia="Calibri" w:hAnsi="Arial" w:cs="Arial"/>
          <w:b/>
          <w:bCs/>
          <w:color w:val="000000" w:themeColor="text1"/>
        </w:rPr>
        <w:t xml:space="preserve">“…Estudio de fondo. </w:t>
      </w:r>
      <w:r w:rsidRPr="009F0391">
        <w:rPr>
          <w:rFonts w:ascii="Arial" w:eastAsia="Calibri" w:hAnsi="Arial" w:cs="Arial"/>
          <w:bCs/>
          <w:color w:val="000000" w:themeColor="text1"/>
        </w:rPr>
        <w:t xml:space="preserve">Al configurarse la nulidad lisa y llana de la negativa ficta de las peticiones que presentó el demandante con el carácter de concesionario del servicio de público de transporte público en su modalidad de taxi, para la población de la Villa de </w:t>
      </w:r>
      <w:proofErr w:type="spellStart"/>
      <w:r w:rsidRPr="009F0391">
        <w:rPr>
          <w:rFonts w:ascii="Arial" w:eastAsia="Calibri" w:hAnsi="Arial" w:cs="Arial"/>
          <w:bCs/>
          <w:color w:val="000000" w:themeColor="text1"/>
        </w:rPr>
        <w:t>Etla</w:t>
      </w:r>
      <w:proofErr w:type="spellEnd"/>
      <w:r w:rsidRPr="009F0391">
        <w:rPr>
          <w:rFonts w:ascii="Arial" w:eastAsia="Calibri" w:hAnsi="Arial" w:cs="Arial"/>
          <w:bCs/>
          <w:color w:val="000000" w:themeColor="text1"/>
        </w:rPr>
        <w:t xml:space="preserve">, Oaxaca, ante la autoridad hoy enjuiciada, y declararse LA NULIDAD LISA Y LLANA de dicha negativa, corresponde a esta </w:t>
      </w:r>
      <w:proofErr w:type="spellStart"/>
      <w:r w:rsidRPr="009F0391">
        <w:rPr>
          <w:rFonts w:ascii="Arial" w:eastAsia="Calibri" w:hAnsi="Arial" w:cs="Arial"/>
          <w:bCs/>
          <w:color w:val="000000" w:themeColor="text1"/>
        </w:rPr>
        <w:t>resolutora</w:t>
      </w:r>
      <w:proofErr w:type="spellEnd"/>
      <w:r w:rsidRPr="009F0391">
        <w:rPr>
          <w:rFonts w:ascii="Arial" w:eastAsia="Calibri" w:hAnsi="Arial" w:cs="Arial"/>
          <w:bCs/>
          <w:color w:val="000000" w:themeColor="text1"/>
        </w:rPr>
        <w:t xml:space="preserve"> sustituirse en la autoridad administrativa para resolver sobre dichas peticiones a la luz de la legislación aplicable, esto quiere decir que en base a los derechos que estén acreditados con las pruebas exhibidas en este juicio, se resolverá sobre si la ley permite se le conceden los puntos petitorios que formuló ante la autoridad, hoy enjuiciada.</w:t>
      </w:r>
    </w:p>
    <w:p w14:paraId="61EEB346" w14:textId="3C7CCA0F" w:rsidR="00CA1430" w:rsidRPr="009F0391" w:rsidRDefault="00CA1430" w:rsidP="00CA1430">
      <w:pPr>
        <w:spacing w:line="360" w:lineRule="auto"/>
        <w:ind w:left="567" w:right="474"/>
        <w:jc w:val="both"/>
        <w:rPr>
          <w:rFonts w:ascii="Arial" w:eastAsia="Calibri" w:hAnsi="Arial" w:cs="Arial"/>
          <w:bCs/>
          <w:color w:val="000000" w:themeColor="text1"/>
        </w:rPr>
      </w:pPr>
      <w:r w:rsidRPr="009F0391">
        <w:rPr>
          <w:rFonts w:ascii="Arial" w:eastAsia="Calibri" w:hAnsi="Arial" w:cs="Arial"/>
          <w:bCs/>
          <w:color w:val="000000" w:themeColor="text1"/>
        </w:rPr>
        <w:tab/>
      </w:r>
      <w:r w:rsidRPr="009F0391">
        <w:rPr>
          <w:rFonts w:ascii="Arial" w:eastAsia="Calibri" w:hAnsi="Arial" w:cs="Arial"/>
          <w:bCs/>
          <w:color w:val="000000" w:themeColor="text1"/>
        </w:rPr>
        <w:tab/>
        <w:t>En tales condiciones, de las documentales que la parte actora, exhibió y desahogó en el presente juicio, se tiene a la vista a fojas de la 22 veintidós a la 25 veinticinco, del sumario del presente juicio, un título de concesión, expedido el 18 dieciocho de octubre de 2004 dos mil cuatro, con la que el demandante se ostenta con la calidad de concesionario del servicio público de transporte en su modalidad de taxi, es de advertirse que dicho documento no hace prueba plena de que el accionante de este juicio al tiempo d presentar su escrito inicial de demanda fuera concesionario, debido a que se trata de un título de concesión caduco en virtud de que el artículo 24 en relación con el 25 de la Ley de Tránsito Reformada vigente a la fecha de otorgamiento de este título de concesión, señalaba:</w:t>
      </w:r>
    </w:p>
    <w:p w14:paraId="1D607F2A" w14:textId="77777777" w:rsidR="00CA1430" w:rsidRPr="009F0391" w:rsidRDefault="00CA1430" w:rsidP="00CA1430">
      <w:pPr>
        <w:spacing w:line="360" w:lineRule="auto"/>
        <w:ind w:left="567" w:right="474"/>
        <w:jc w:val="both"/>
        <w:rPr>
          <w:rFonts w:ascii="Arial" w:eastAsia="Calibri" w:hAnsi="Arial" w:cs="Arial"/>
          <w:bCs/>
          <w:i/>
          <w:color w:val="000000" w:themeColor="text1"/>
        </w:rPr>
      </w:pPr>
      <w:r w:rsidRPr="009F0391">
        <w:rPr>
          <w:rFonts w:ascii="Arial" w:eastAsia="Calibri" w:hAnsi="Arial" w:cs="Arial"/>
          <w:b/>
          <w:bCs/>
          <w:i/>
          <w:color w:val="000000" w:themeColor="text1"/>
        </w:rPr>
        <w:t xml:space="preserve">“ARTÍCULO 24.- </w:t>
      </w:r>
      <w:r w:rsidRPr="009F0391">
        <w:rPr>
          <w:rFonts w:ascii="Arial" w:eastAsia="Calibri" w:hAnsi="Arial" w:cs="Arial"/>
          <w:bCs/>
          <w:i/>
          <w:color w:val="000000" w:themeColor="text1"/>
        </w:rPr>
        <w:t>En las concesiones y permisos para la prestación de servicios públicos de transporte de pasajeros o de carga, se precisará, previa aprobación del Ejecutivo del Estado:</w:t>
      </w:r>
    </w:p>
    <w:p w14:paraId="19FB35F8" w14:textId="77777777" w:rsidR="00CA1430" w:rsidRPr="009F0391" w:rsidRDefault="00CA1430" w:rsidP="00CA1430">
      <w:pPr>
        <w:spacing w:line="360" w:lineRule="auto"/>
        <w:ind w:left="567" w:right="474"/>
        <w:jc w:val="both"/>
        <w:rPr>
          <w:rFonts w:ascii="Arial" w:eastAsia="Calibri" w:hAnsi="Arial" w:cs="Arial"/>
          <w:bCs/>
          <w:i/>
          <w:color w:val="000000" w:themeColor="text1"/>
        </w:rPr>
      </w:pPr>
      <w:r w:rsidRPr="009F0391">
        <w:rPr>
          <w:rFonts w:ascii="Arial" w:eastAsia="Calibri" w:hAnsi="Arial" w:cs="Arial"/>
          <w:bCs/>
          <w:i/>
          <w:color w:val="000000" w:themeColor="text1"/>
        </w:rPr>
        <w:t xml:space="preserve">I.- En tiempo por el que se otorgue la concesión o permiso, según la naturaleza y circunstancias del servicio, </w:t>
      </w:r>
      <w:r w:rsidRPr="009F0391">
        <w:rPr>
          <w:rFonts w:ascii="Arial" w:eastAsia="Calibri" w:hAnsi="Arial" w:cs="Arial"/>
          <w:b/>
          <w:bCs/>
          <w:i/>
          <w:color w:val="000000" w:themeColor="text1"/>
        </w:rPr>
        <w:t xml:space="preserve">pero nunca de un plazo mayor de CINCO AÑOS, </w:t>
      </w:r>
      <w:r w:rsidRPr="009F0391">
        <w:rPr>
          <w:rFonts w:ascii="Arial" w:eastAsia="Calibri" w:hAnsi="Arial" w:cs="Arial"/>
          <w:bCs/>
          <w:i/>
          <w:color w:val="000000" w:themeColor="text1"/>
        </w:rPr>
        <w:t>que puede ser prorrogado. (Énfasis añadido)</w:t>
      </w:r>
    </w:p>
    <w:p w14:paraId="5552180D" w14:textId="77777777" w:rsidR="00CA1430" w:rsidRPr="009F0391" w:rsidRDefault="00CA1430" w:rsidP="00CA1430">
      <w:pPr>
        <w:spacing w:line="360" w:lineRule="auto"/>
        <w:ind w:left="567" w:right="474"/>
        <w:jc w:val="both"/>
        <w:rPr>
          <w:rFonts w:ascii="Arial" w:eastAsia="Calibri" w:hAnsi="Arial" w:cs="Arial"/>
          <w:bCs/>
          <w:i/>
          <w:color w:val="000000" w:themeColor="text1"/>
        </w:rPr>
      </w:pPr>
      <w:r w:rsidRPr="009F0391">
        <w:rPr>
          <w:rFonts w:ascii="Arial" w:eastAsia="Calibri" w:hAnsi="Arial" w:cs="Arial"/>
          <w:b/>
          <w:bCs/>
          <w:i/>
          <w:color w:val="000000" w:themeColor="text1"/>
        </w:rPr>
        <w:t xml:space="preserve">ARTÍCULO 25.- </w:t>
      </w:r>
      <w:r w:rsidRPr="009F0391">
        <w:rPr>
          <w:rFonts w:ascii="Arial" w:eastAsia="Calibri" w:hAnsi="Arial" w:cs="Arial"/>
          <w:bCs/>
          <w:i/>
          <w:color w:val="000000" w:themeColor="text1"/>
        </w:rPr>
        <w:t>Las concesiones y permisos para el establecimiento y explotación de los servicios públicos de transporte o carga, caducarán de pleno derecho:</w:t>
      </w:r>
    </w:p>
    <w:p w14:paraId="22E05B05" w14:textId="3EDCAEBD" w:rsidR="00CA1430" w:rsidRPr="009F0391" w:rsidRDefault="00CA1430" w:rsidP="005342C5">
      <w:pPr>
        <w:spacing w:line="360" w:lineRule="auto"/>
        <w:ind w:left="567" w:right="474"/>
        <w:jc w:val="both"/>
        <w:rPr>
          <w:rFonts w:ascii="Arial" w:eastAsia="Calibri" w:hAnsi="Arial" w:cs="Arial"/>
          <w:bCs/>
          <w:i/>
          <w:color w:val="000000" w:themeColor="text1"/>
        </w:rPr>
      </w:pPr>
      <w:r w:rsidRPr="009F0391">
        <w:rPr>
          <w:rFonts w:ascii="Arial" w:eastAsia="Calibri" w:hAnsi="Arial" w:cs="Arial"/>
          <w:bCs/>
          <w:i/>
          <w:color w:val="000000" w:themeColor="text1"/>
        </w:rPr>
        <w:t>I.-…, II.-…, III.- Porque se venza el plazo de la concesión o permiso sin haber renovado éstos. …”</w:t>
      </w:r>
    </w:p>
    <w:p w14:paraId="1410A2D0" w14:textId="1D1A184D" w:rsidR="00CA1430" w:rsidRPr="009F0391" w:rsidRDefault="005342C5" w:rsidP="009F0391">
      <w:pPr>
        <w:spacing w:line="360" w:lineRule="auto"/>
        <w:ind w:left="567" w:right="474"/>
        <w:jc w:val="both"/>
        <w:rPr>
          <w:rFonts w:ascii="Arial" w:eastAsia="Calibri" w:hAnsi="Arial" w:cs="Arial"/>
          <w:bCs/>
          <w:color w:val="000000" w:themeColor="text1"/>
        </w:rPr>
      </w:pPr>
      <w:r>
        <w:rPr>
          <w:rFonts w:ascii="Arial" w:eastAsia="Calibri" w:hAnsi="Arial" w:cs="Arial"/>
          <w:bCs/>
          <w:color w:val="000000" w:themeColor="text1"/>
        </w:rPr>
        <w:tab/>
      </w:r>
      <w:r>
        <w:rPr>
          <w:rFonts w:ascii="Arial" w:eastAsia="Calibri" w:hAnsi="Arial" w:cs="Arial"/>
          <w:bCs/>
          <w:color w:val="000000" w:themeColor="text1"/>
        </w:rPr>
        <w:tab/>
      </w:r>
      <w:r w:rsidR="00CA1430" w:rsidRPr="009F0391">
        <w:rPr>
          <w:rFonts w:ascii="Arial" w:eastAsia="Calibri" w:hAnsi="Arial" w:cs="Arial"/>
          <w:bCs/>
          <w:color w:val="000000" w:themeColor="text1"/>
        </w:rPr>
        <w:t>Esto quiere decir, que el plazo que la ley señalaba en ese tiempo para la expedición de concesiones para el servicio público de transporte en su modalidad de taxi, era de CINCO AÑOS, los cuales vencieron el 18 dieciocho de octubre de 2009 dos mil nueve; y del análisis de los demás documentos que anexó el demandante, no consta ningún escrito en el que hubiese solicitado la renovación de su concesión y por tanto, la caducidad opera de forma automática, aun cuando no exista declaratoria, dada la naturaleza jurídica de la citada figura jurídica.</w:t>
      </w:r>
    </w:p>
    <w:p w14:paraId="6750BD4E" w14:textId="1331974E" w:rsidR="00CA1430" w:rsidRPr="009F0391" w:rsidRDefault="005342C5" w:rsidP="005342C5">
      <w:pPr>
        <w:spacing w:line="360" w:lineRule="auto"/>
        <w:ind w:left="567" w:right="474"/>
        <w:jc w:val="both"/>
        <w:rPr>
          <w:rFonts w:ascii="Arial" w:eastAsia="Calibri" w:hAnsi="Arial" w:cs="Arial"/>
          <w:bCs/>
          <w:color w:val="000000" w:themeColor="text1"/>
        </w:rPr>
      </w:pPr>
      <w:r>
        <w:rPr>
          <w:rFonts w:ascii="Arial" w:eastAsia="Calibri" w:hAnsi="Arial" w:cs="Arial"/>
          <w:bCs/>
          <w:color w:val="000000" w:themeColor="text1"/>
        </w:rPr>
        <w:tab/>
      </w:r>
      <w:r>
        <w:rPr>
          <w:rFonts w:ascii="Arial" w:eastAsia="Calibri" w:hAnsi="Arial" w:cs="Arial"/>
          <w:bCs/>
          <w:color w:val="000000" w:themeColor="text1"/>
        </w:rPr>
        <w:tab/>
      </w:r>
      <w:r w:rsidR="00CA1430" w:rsidRPr="009F0391">
        <w:rPr>
          <w:rFonts w:ascii="Arial" w:eastAsia="Calibri" w:hAnsi="Arial" w:cs="Arial"/>
          <w:bCs/>
          <w:color w:val="000000" w:themeColor="text1"/>
        </w:rPr>
        <w:t>Ahora bien, considerando que la nueva Ley de Transporte del Estado de Oaxaca, que en su artículo 72 modifica la vigencia de la concesiones de transporte público individual en su modalidad de taxi, por un plazo de 10 diez años, misma que fue publicada en 9 nueve de diciembre de 2013 dos mil trece, para esa fecha ya había caducado el título de concesión que obra en autos al tener fecha de expedición de 18 dieciocho de octubre de 2004 dos mil cuatro, debido a que los cinco años a partir de esa fecha, sería el 18 dieciocho de octubre de 2009 dos mil nueve, a mayor razón de la fecha de presentación de la demanda cuyo sello de acuse oficial, consta a la vuelta de la foja uno del presente expediente con una fecha de 25 veinticinco de agosto de 2015 dos mil quince. Es decir que aun cuando ha seguido trabajando con una concesión caduca, esto no logra su supervivencia. La caducidad opera de pleno derecho (de iure), es decir, por ley.</w:t>
      </w:r>
    </w:p>
    <w:p w14:paraId="1F7B5711" w14:textId="5B4F0647" w:rsidR="00CA1430" w:rsidRPr="009F0391" w:rsidRDefault="00F659A6" w:rsidP="009F0391">
      <w:pPr>
        <w:spacing w:line="360" w:lineRule="auto"/>
        <w:ind w:left="567" w:right="474"/>
        <w:jc w:val="both"/>
        <w:rPr>
          <w:rFonts w:ascii="Arial" w:eastAsia="Calibri" w:hAnsi="Arial" w:cs="Arial"/>
          <w:bCs/>
          <w:color w:val="000000" w:themeColor="text1"/>
        </w:rPr>
      </w:pPr>
      <w:r>
        <w:rPr>
          <w:rFonts w:ascii="Arial" w:eastAsia="Calibri" w:hAnsi="Arial" w:cs="Arial"/>
          <w:bCs/>
          <w:color w:val="000000" w:themeColor="text1"/>
        </w:rPr>
        <w:tab/>
      </w:r>
      <w:r>
        <w:rPr>
          <w:rFonts w:ascii="Arial" w:eastAsia="Calibri" w:hAnsi="Arial" w:cs="Arial"/>
          <w:bCs/>
          <w:color w:val="000000" w:themeColor="text1"/>
        </w:rPr>
        <w:tab/>
      </w:r>
      <w:r w:rsidR="00CA1430" w:rsidRPr="009F0391">
        <w:rPr>
          <w:rFonts w:ascii="Arial" w:eastAsia="Calibri" w:hAnsi="Arial" w:cs="Arial"/>
          <w:bCs/>
          <w:color w:val="000000" w:themeColor="text1"/>
        </w:rPr>
        <w:t>Esto es así, Esto es así (sic) porque el artículo 20 de la Ley de Procedimiento y Justicia Administrativa para el Estado, en lo que se refiere a la extinción del acto administrativo, señala:</w:t>
      </w:r>
    </w:p>
    <w:p w14:paraId="59C7F912" w14:textId="77777777" w:rsidR="00CA1430" w:rsidRPr="009F0391" w:rsidRDefault="00CA1430" w:rsidP="009F0391">
      <w:pPr>
        <w:spacing w:line="360" w:lineRule="auto"/>
        <w:ind w:left="567" w:right="474"/>
        <w:jc w:val="both"/>
        <w:rPr>
          <w:rFonts w:ascii="Arial" w:eastAsia="Calibri" w:hAnsi="Arial" w:cs="Arial"/>
          <w:bCs/>
          <w:i/>
          <w:color w:val="000000" w:themeColor="text1"/>
        </w:rPr>
      </w:pPr>
      <w:r w:rsidRPr="009F0391">
        <w:rPr>
          <w:rFonts w:ascii="Arial" w:eastAsia="Calibri" w:hAnsi="Arial" w:cs="Arial"/>
          <w:b/>
          <w:bCs/>
          <w:i/>
          <w:color w:val="000000" w:themeColor="text1"/>
        </w:rPr>
        <w:t xml:space="preserve">“Artículo 20.- </w:t>
      </w:r>
      <w:r w:rsidRPr="009F0391">
        <w:rPr>
          <w:rFonts w:ascii="Arial" w:eastAsia="Calibri" w:hAnsi="Arial" w:cs="Arial"/>
          <w:bCs/>
          <w:i/>
          <w:color w:val="000000" w:themeColor="text1"/>
        </w:rPr>
        <w:t xml:space="preserve">El acto administrativo de carácter individual se </w:t>
      </w:r>
      <w:r w:rsidRPr="009F0391">
        <w:rPr>
          <w:rFonts w:ascii="Arial" w:eastAsia="Calibri" w:hAnsi="Arial" w:cs="Arial"/>
          <w:b/>
          <w:bCs/>
          <w:i/>
          <w:color w:val="000000" w:themeColor="text1"/>
        </w:rPr>
        <w:t xml:space="preserve">extingue de pleno derecho, </w:t>
      </w:r>
      <w:r w:rsidRPr="009F0391">
        <w:rPr>
          <w:rFonts w:ascii="Arial" w:eastAsia="Calibri" w:hAnsi="Arial" w:cs="Arial"/>
          <w:bCs/>
          <w:i/>
          <w:color w:val="000000" w:themeColor="text1"/>
        </w:rPr>
        <w:t>por las siguientes causas:</w:t>
      </w:r>
    </w:p>
    <w:p w14:paraId="67AB15D5" w14:textId="77777777" w:rsidR="00CA1430" w:rsidRPr="009F0391" w:rsidRDefault="00CA1430" w:rsidP="009F0391">
      <w:pPr>
        <w:spacing w:line="360" w:lineRule="auto"/>
        <w:ind w:left="567" w:right="474"/>
        <w:jc w:val="both"/>
        <w:rPr>
          <w:rFonts w:ascii="Arial" w:eastAsia="Calibri" w:hAnsi="Arial" w:cs="Arial"/>
          <w:bCs/>
          <w:i/>
          <w:color w:val="000000" w:themeColor="text1"/>
        </w:rPr>
      </w:pPr>
      <w:r w:rsidRPr="009F0391">
        <w:rPr>
          <w:rFonts w:ascii="Arial" w:eastAsia="Calibri" w:hAnsi="Arial" w:cs="Arial"/>
          <w:bCs/>
          <w:i/>
          <w:color w:val="000000" w:themeColor="text1"/>
        </w:rPr>
        <w:t>I.-…, II.-…, III.-…, IV.-…, V.-…,</w:t>
      </w:r>
    </w:p>
    <w:p w14:paraId="00932B30" w14:textId="04819467" w:rsidR="00CA1430" w:rsidRPr="009F0391" w:rsidRDefault="00CA1430" w:rsidP="005342C5">
      <w:pPr>
        <w:spacing w:line="360" w:lineRule="auto"/>
        <w:ind w:left="567" w:right="474"/>
        <w:jc w:val="both"/>
        <w:rPr>
          <w:rFonts w:ascii="Arial" w:eastAsia="Calibri" w:hAnsi="Arial" w:cs="Arial"/>
          <w:bCs/>
          <w:i/>
          <w:color w:val="000000" w:themeColor="text1"/>
        </w:rPr>
      </w:pPr>
      <w:r w:rsidRPr="009F0391">
        <w:rPr>
          <w:rFonts w:ascii="Arial" w:eastAsia="Calibri" w:hAnsi="Arial" w:cs="Arial"/>
          <w:b/>
          <w:bCs/>
          <w:i/>
          <w:color w:val="000000" w:themeColor="text1"/>
        </w:rPr>
        <w:t xml:space="preserve">VI.- La conclusión de su vigencia. </w:t>
      </w:r>
      <w:r w:rsidRPr="009F0391">
        <w:rPr>
          <w:rFonts w:ascii="Arial" w:eastAsia="Calibri" w:hAnsi="Arial" w:cs="Arial"/>
          <w:bCs/>
          <w:i/>
          <w:color w:val="000000" w:themeColor="text1"/>
        </w:rPr>
        <w:t xml:space="preserve">(Énfasis añadido) </w:t>
      </w:r>
    </w:p>
    <w:p w14:paraId="28EC91DA" w14:textId="7233C8D5" w:rsidR="00CA1430" w:rsidRDefault="00F659A6" w:rsidP="009F0391">
      <w:pPr>
        <w:spacing w:line="360" w:lineRule="auto"/>
        <w:ind w:left="567" w:right="474"/>
        <w:jc w:val="both"/>
        <w:rPr>
          <w:rFonts w:ascii="Arial" w:eastAsia="Calibri" w:hAnsi="Arial" w:cs="Arial"/>
          <w:bCs/>
          <w:color w:val="000000" w:themeColor="text1"/>
        </w:rPr>
      </w:pPr>
      <w:r>
        <w:rPr>
          <w:rFonts w:ascii="Arial" w:eastAsia="Calibri" w:hAnsi="Arial" w:cs="Arial"/>
          <w:bCs/>
          <w:color w:val="000000" w:themeColor="text1"/>
        </w:rPr>
        <w:tab/>
      </w:r>
      <w:r>
        <w:rPr>
          <w:rFonts w:ascii="Arial" w:eastAsia="Calibri" w:hAnsi="Arial" w:cs="Arial"/>
          <w:bCs/>
          <w:color w:val="000000" w:themeColor="text1"/>
        </w:rPr>
        <w:tab/>
      </w:r>
      <w:r w:rsidR="00CA1430" w:rsidRPr="009F0391">
        <w:rPr>
          <w:rFonts w:ascii="Arial" w:eastAsia="Calibri" w:hAnsi="Arial" w:cs="Arial"/>
          <w:bCs/>
          <w:color w:val="000000" w:themeColor="text1"/>
        </w:rPr>
        <w:t>Así, el título de concesión que exhibe el accionante de este juicio,</w:t>
      </w:r>
      <w:r w:rsidR="00CA1430" w:rsidRPr="009F0391">
        <w:rPr>
          <w:rFonts w:ascii="Arial" w:eastAsia="Calibri" w:hAnsi="Arial" w:cs="Arial"/>
          <w:b/>
          <w:bCs/>
          <w:color w:val="000000" w:themeColor="text1"/>
        </w:rPr>
        <w:t xml:space="preserve"> </w:t>
      </w:r>
      <w:r w:rsidR="00CA1430" w:rsidRPr="009F0391">
        <w:rPr>
          <w:rFonts w:ascii="Arial" w:eastAsia="Calibri" w:hAnsi="Arial" w:cs="Arial"/>
          <w:b/>
          <w:bCs/>
          <w:i/>
          <w:color w:val="000000" w:themeColor="text1"/>
        </w:rPr>
        <w:t>se extinguió de pleno derecho</w:t>
      </w:r>
      <w:r w:rsidR="00CA1430" w:rsidRPr="009F0391">
        <w:rPr>
          <w:rFonts w:ascii="Arial" w:eastAsia="Calibri" w:hAnsi="Arial" w:cs="Arial"/>
          <w:bCs/>
          <w:color w:val="000000" w:themeColor="text1"/>
        </w:rPr>
        <w:t xml:space="preserve"> con el cumplimiento del plazo que la ley señala, la anterior Ley de Tránsito Reformada vigente al otorgamiento de la concesión era de CINCO AÑOS, por ello, es partir del vencimiento del término de cinco años señalados en la ley, que desaparecen del mundo jurídico. Sin que obste la contradictoria leyenda contenida en el multicitado título: “…LA PRESENTE CONCESIÓN </w:t>
      </w:r>
      <w:r w:rsidR="00CA1430" w:rsidRPr="009F0391">
        <w:rPr>
          <w:rFonts w:ascii="Arial" w:eastAsia="Calibri" w:hAnsi="Arial" w:cs="Arial"/>
          <w:b/>
          <w:bCs/>
          <w:color w:val="000000" w:themeColor="text1"/>
        </w:rPr>
        <w:t xml:space="preserve">NO TIENE FECHA DE VENCIMIENTO YA QUE ES POR TIEMPO </w:t>
      </w:r>
      <w:r w:rsidR="00CA1430" w:rsidRPr="009F0391">
        <w:rPr>
          <w:rFonts w:ascii="Arial" w:eastAsia="Calibri" w:hAnsi="Arial" w:cs="Arial"/>
          <w:b/>
          <w:bCs/>
          <w:color w:val="000000" w:themeColor="text1"/>
          <w:u w:val="single"/>
        </w:rPr>
        <w:t>DEFINITIVO</w:t>
      </w:r>
      <w:r w:rsidR="00CA1430" w:rsidRPr="009F0391">
        <w:rPr>
          <w:rFonts w:ascii="Arial" w:eastAsia="Calibri" w:hAnsi="Arial" w:cs="Arial"/>
          <w:b/>
          <w:bCs/>
          <w:color w:val="000000" w:themeColor="text1"/>
        </w:rPr>
        <w:t xml:space="preserve"> (SIC), RAZÓN POR LA CUAL NO HABRÁ RENOVACIÓN DE LA MISMA,</w:t>
      </w:r>
      <w:r w:rsidR="00CA1430" w:rsidRPr="009F0391">
        <w:rPr>
          <w:rFonts w:ascii="Arial" w:eastAsia="Calibri" w:hAnsi="Arial" w:cs="Arial"/>
          <w:bCs/>
          <w:color w:val="000000" w:themeColor="text1"/>
        </w:rPr>
        <w:t xml:space="preserve">…” Esta cláusula del título es legal contraria a derecho, por lo señalado en el artículo 24 de la anterior Ley de Tránsito Reformada que señalaba de forma categórica que se expedirían por cinco años y la actual Ley de Transporte que en su artículo 72 ordena el otorgamiento por diez años, esto prueba que nunca han existido plazos indefinidos porque contrarían la naturaleza jurídica de las concesiones que es el ser: </w:t>
      </w:r>
      <w:r w:rsidR="00CA1430" w:rsidRPr="009F0391">
        <w:rPr>
          <w:rFonts w:ascii="Arial" w:eastAsia="Calibri" w:hAnsi="Arial" w:cs="Arial"/>
          <w:b/>
          <w:bCs/>
          <w:color w:val="000000" w:themeColor="text1"/>
        </w:rPr>
        <w:t xml:space="preserve">PERSONALES, TEMPORALES </w:t>
      </w:r>
      <w:r w:rsidR="00CA1430" w:rsidRPr="009F0391">
        <w:rPr>
          <w:rFonts w:ascii="Arial" w:eastAsia="Calibri" w:hAnsi="Arial" w:cs="Arial"/>
          <w:bCs/>
          <w:color w:val="000000" w:themeColor="text1"/>
        </w:rPr>
        <w:t xml:space="preserve">y totalmente </w:t>
      </w:r>
      <w:r w:rsidR="00CA1430" w:rsidRPr="009F0391">
        <w:rPr>
          <w:rFonts w:ascii="Arial" w:eastAsia="Calibri" w:hAnsi="Arial" w:cs="Arial"/>
          <w:b/>
          <w:bCs/>
          <w:color w:val="000000" w:themeColor="text1"/>
        </w:rPr>
        <w:t>REVOCABLES</w:t>
      </w:r>
      <w:r w:rsidR="00CA1430" w:rsidRPr="009F0391">
        <w:rPr>
          <w:rFonts w:ascii="Arial" w:eastAsia="Calibri" w:hAnsi="Arial" w:cs="Arial"/>
          <w:bCs/>
          <w:color w:val="000000" w:themeColor="text1"/>
        </w:rPr>
        <w:t xml:space="preserve">. No existe en materia de concesiones, permisos y licencias el concepto de </w:t>
      </w:r>
      <w:proofErr w:type="spellStart"/>
      <w:r w:rsidR="00CA1430" w:rsidRPr="009F0391">
        <w:rPr>
          <w:rFonts w:ascii="Arial" w:eastAsia="Calibri" w:hAnsi="Arial" w:cs="Arial"/>
          <w:bCs/>
          <w:color w:val="000000" w:themeColor="text1"/>
        </w:rPr>
        <w:t>indefinitividad</w:t>
      </w:r>
      <w:proofErr w:type="spellEnd"/>
      <w:r w:rsidR="00CA1430" w:rsidRPr="009F0391">
        <w:rPr>
          <w:rFonts w:ascii="Arial" w:eastAsia="Calibri" w:hAnsi="Arial" w:cs="Arial"/>
          <w:bCs/>
          <w:color w:val="000000" w:themeColor="text1"/>
        </w:rPr>
        <w:t xml:space="preserve"> (sic), inclusive quienes piden concesiones mineras a largo plazo, debido a la alta inversión, su plazo máximo es de cien años, eso se parece a los indefinido, pero siempre será por el número máximo que la ley señale. No hay forma de otorgarlas de forma indefinida.</w:t>
      </w:r>
    </w:p>
    <w:p w14:paraId="77F2799E" w14:textId="07E34BF7" w:rsidR="00CA1430" w:rsidRPr="005F62FE" w:rsidRDefault="009F0391" w:rsidP="005F62FE">
      <w:pPr>
        <w:spacing w:line="360" w:lineRule="auto"/>
        <w:ind w:left="567" w:right="474"/>
        <w:jc w:val="both"/>
        <w:rPr>
          <w:rFonts w:ascii="Arial" w:eastAsia="Calibri" w:hAnsi="Arial" w:cs="Arial"/>
          <w:bCs/>
          <w:color w:val="000000" w:themeColor="text1"/>
        </w:rPr>
      </w:pPr>
      <w:r>
        <w:rPr>
          <w:rFonts w:ascii="Arial" w:eastAsia="Calibri" w:hAnsi="Arial" w:cs="Arial"/>
          <w:bCs/>
          <w:color w:val="000000" w:themeColor="text1"/>
        </w:rPr>
        <w:t>…”</w:t>
      </w:r>
    </w:p>
    <w:p w14:paraId="16F65A47" w14:textId="42CC0233" w:rsidR="00A03DF5" w:rsidRDefault="00626EFC" w:rsidP="00626EFC">
      <w:pPr>
        <w:spacing w:line="360" w:lineRule="auto"/>
        <w:jc w:val="both"/>
        <w:rPr>
          <w:rFonts w:ascii="Arial" w:eastAsia="Calibri" w:hAnsi="Arial" w:cs="Arial"/>
          <w:bCs/>
          <w:color w:val="000000" w:themeColor="text1"/>
          <w:sz w:val="26"/>
          <w:szCs w:val="26"/>
        </w:rPr>
      </w:pPr>
      <w:r>
        <w:rPr>
          <w:rFonts w:ascii="Arial" w:eastAsia="Calibri" w:hAnsi="Arial" w:cs="Arial"/>
          <w:bCs/>
          <w:sz w:val="26"/>
          <w:szCs w:val="26"/>
        </w:rPr>
        <w:tab/>
      </w:r>
      <w:r w:rsidRPr="009F0391">
        <w:rPr>
          <w:rFonts w:ascii="Arial" w:eastAsia="Calibri" w:hAnsi="Arial" w:cs="Arial"/>
          <w:bCs/>
          <w:sz w:val="26"/>
          <w:szCs w:val="26"/>
        </w:rPr>
        <w:t>Transcripción de la que se advierte que en efecto existe variación de la Litis de la materia, ya que la Sala Unitaria se avocó a señalar relativo a la concesión número</w:t>
      </w:r>
      <w:r w:rsidR="00300993" w:rsidRPr="009F0391">
        <w:rPr>
          <w:rFonts w:ascii="Arial" w:eastAsia="Calibri" w:hAnsi="Arial" w:cs="Arial"/>
          <w:bCs/>
          <w:sz w:val="26"/>
          <w:szCs w:val="26"/>
        </w:rPr>
        <w:t xml:space="preserve"> 15051 de fecha </w:t>
      </w:r>
      <w:r w:rsidRPr="009F0391">
        <w:rPr>
          <w:rFonts w:ascii="Arial" w:eastAsia="Calibri" w:hAnsi="Arial" w:cs="Arial"/>
          <w:bCs/>
          <w:sz w:val="26"/>
          <w:szCs w:val="26"/>
        </w:rPr>
        <w:t>18 de octubre de dos mil c</w:t>
      </w:r>
      <w:r w:rsidR="006779CA" w:rsidRPr="009F0391">
        <w:rPr>
          <w:rFonts w:ascii="Arial" w:eastAsia="Calibri" w:hAnsi="Arial" w:cs="Arial"/>
          <w:bCs/>
          <w:sz w:val="26"/>
          <w:szCs w:val="26"/>
        </w:rPr>
        <w:t>uatro</w:t>
      </w:r>
      <w:r w:rsidR="00F319E2" w:rsidRPr="009F0391">
        <w:rPr>
          <w:rFonts w:ascii="Arial" w:eastAsia="Calibri" w:hAnsi="Arial" w:cs="Arial"/>
          <w:bCs/>
          <w:sz w:val="26"/>
          <w:szCs w:val="26"/>
        </w:rPr>
        <w:t>,</w:t>
      </w:r>
      <w:r w:rsidRPr="009F0391">
        <w:rPr>
          <w:rFonts w:ascii="Arial" w:eastAsia="Calibri" w:hAnsi="Arial" w:cs="Arial"/>
          <w:bCs/>
          <w:sz w:val="26"/>
          <w:szCs w:val="26"/>
        </w:rPr>
        <w:t xml:space="preserve"> fundando su determinación en el artículo 24 de la anterior </w:t>
      </w:r>
      <w:r w:rsidR="00F355E4" w:rsidRPr="009F0391">
        <w:rPr>
          <w:rFonts w:ascii="Arial" w:eastAsia="Calibri" w:hAnsi="Arial" w:cs="Arial"/>
          <w:bCs/>
          <w:sz w:val="26"/>
          <w:szCs w:val="26"/>
        </w:rPr>
        <w:t>L</w:t>
      </w:r>
      <w:r w:rsidRPr="009F0391">
        <w:rPr>
          <w:rFonts w:ascii="Arial" w:eastAsia="Calibri" w:hAnsi="Arial" w:cs="Arial"/>
          <w:bCs/>
          <w:sz w:val="26"/>
          <w:szCs w:val="26"/>
        </w:rPr>
        <w:t xml:space="preserve">ey de </w:t>
      </w:r>
      <w:r w:rsidR="00F355E4" w:rsidRPr="009F0391">
        <w:rPr>
          <w:rFonts w:ascii="Arial" w:eastAsia="Calibri" w:hAnsi="Arial" w:cs="Arial"/>
          <w:bCs/>
          <w:sz w:val="26"/>
          <w:szCs w:val="26"/>
        </w:rPr>
        <w:t>T</w:t>
      </w:r>
      <w:r w:rsidRPr="009F0391">
        <w:rPr>
          <w:rFonts w:ascii="Arial" w:eastAsia="Calibri" w:hAnsi="Arial" w:cs="Arial"/>
          <w:bCs/>
          <w:sz w:val="26"/>
          <w:szCs w:val="26"/>
        </w:rPr>
        <w:t>ránsito</w:t>
      </w:r>
      <w:r w:rsidR="00F355E4" w:rsidRPr="009F0391">
        <w:rPr>
          <w:rFonts w:ascii="Arial" w:eastAsia="Calibri" w:hAnsi="Arial" w:cs="Arial"/>
          <w:bCs/>
          <w:sz w:val="26"/>
          <w:szCs w:val="26"/>
        </w:rPr>
        <w:t xml:space="preserve"> R</w:t>
      </w:r>
      <w:r w:rsidRPr="009F0391">
        <w:rPr>
          <w:rFonts w:ascii="Arial" w:eastAsia="Calibri" w:hAnsi="Arial" w:cs="Arial"/>
          <w:bCs/>
          <w:sz w:val="26"/>
          <w:szCs w:val="26"/>
        </w:rPr>
        <w:t xml:space="preserve">eformada </w:t>
      </w:r>
      <w:r w:rsidRPr="009F0391">
        <w:rPr>
          <w:rFonts w:ascii="Arial" w:eastAsia="Calibri" w:hAnsi="Arial" w:cs="Arial"/>
          <w:bCs/>
          <w:color w:val="000000" w:themeColor="text1"/>
          <w:sz w:val="26"/>
          <w:szCs w:val="26"/>
        </w:rPr>
        <w:t>que señalaba de forma categórica que se expedirían por cinco años y la actual Ley de Transporte que en su artículo 72 ordena</w:t>
      </w:r>
      <w:r w:rsidR="00F355E4" w:rsidRPr="009F0391">
        <w:rPr>
          <w:rFonts w:ascii="Arial" w:eastAsia="Calibri" w:hAnsi="Arial" w:cs="Arial"/>
          <w:bCs/>
          <w:color w:val="000000" w:themeColor="text1"/>
          <w:sz w:val="26"/>
          <w:szCs w:val="26"/>
        </w:rPr>
        <w:t xml:space="preserve"> el otorgamiento por diez años, </w:t>
      </w:r>
      <w:r w:rsidR="00F659A6">
        <w:rPr>
          <w:rFonts w:ascii="Arial" w:eastAsia="Calibri" w:hAnsi="Arial" w:cs="Arial"/>
          <w:bCs/>
          <w:color w:val="000000" w:themeColor="text1"/>
          <w:sz w:val="26"/>
          <w:szCs w:val="26"/>
        </w:rPr>
        <w:t xml:space="preserve"> que </w:t>
      </w:r>
      <w:r w:rsidRPr="009F0391">
        <w:rPr>
          <w:rFonts w:ascii="Arial" w:eastAsia="Calibri" w:hAnsi="Arial" w:cs="Arial"/>
          <w:bCs/>
          <w:color w:val="000000" w:themeColor="text1"/>
          <w:sz w:val="26"/>
          <w:szCs w:val="26"/>
        </w:rPr>
        <w:t xml:space="preserve">con </w:t>
      </w:r>
      <w:r w:rsidR="00F355E4" w:rsidRPr="009F0391">
        <w:rPr>
          <w:rFonts w:ascii="Arial" w:eastAsia="Calibri" w:hAnsi="Arial" w:cs="Arial"/>
          <w:bCs/>
          <w:color w:val="000000" w:themeColor="text1"/>
          <w:sz w:val="26"/>
          <w:szCs w:val="26"/>
        </w:rPr>
        <w:t xml:space="preserve"> dichos preceptos legales </w:t>
      </w:r>
      <w:r w:rsidRPr="009F0391">
        <w:rPr>
          <w:rFonts w:ascii="Arial" w:eastAsia="Calibri" w:hAnsi="Arial" w:cs="Arial"/>
          <w:bCs/>
          <w:color w:val="000000" w:themeColor="text1"/>
          <w:sz w:val="26"/>
          <w:szCs w:val="26"/>
        </w:rPr>
        <w:t xml:space="preserve">quedaba demostrado que nunca han existido plazos indefinidos, ya que </w:t>
      </w:r>
      <w:r w:rsidR="00F355E4" w:rsidRPr="009F0391">
        <w:rPr>
          <w:rFonts w:ascii="Arial" w:eastAsia="Calibri" w:hAnsi="Arial" w:cs="Arial"/>
          <w:bCs/>
          <w:color w:val="000000" w:themeColor="text1"/>
          <w:sz w:val="26"/>
          <w:szCs w:val="26"/>
        </w:rPr>
        <w:t xml:space="preserve">contrarían la naturaleza </w:t>
      </w:r>
      <w:r w:rsidRPr="009F0391">
        <w:rPr>
          <w:rFonts w:ascii="Arial" w:eastAsia="Calibri" w:hAnsi="Arial" w:cs="Arial"/>
          <w:bCs/>
          <w:color w:val="000000" w:themeColor="text1"/>
          <w:sz w:val="26"/>
          <w:szCs w:val="26"/>
        </w:rPr>
        <w:t xml:space="preserve">jurídica de las concesiones que es el ser: </w:t>
      </w:r>
      <w:r w:rsidRPr="009F0391">
        <w:rPr>
          <w:rFonts w:ascii="Arial" w:eastAsia="Calibri" w:hAnsi="Arial" w:cs="Arial"/>
          <w:b/>
          <w:bCs/>
          <w:color w:val="000000" w:themeColor="text1"/>
          <w:sz w:val="26"/>
          <w:szCs w:val="26"/>
        </w:rPr>
        <w:t xml:space="preserve">PERSONALES, TEMPORALES </w:t>
      </w:r>
      <w:r w:rsidRPr="009F0391">
        <w:rPr>
          <w:rFonts w:ascii="Arial" w:eastAsia="Calibri" w:hAnsi="Arial" w:cs="Arial"/>
          <w:bCs/>
          <w:color w:val="000000" w:themeColor="text1"/>
          <w:sz w:val="26"/>
          <w:szCs w:val="26"/>
        </w:rPr>
        <w:t xml:space="preserve">y totalmente </w:t>
      </w:r>
      <w:r w:rsidRPr="009F0391">
        <w:rPr>
          <w:rFonts w:ascii="Arial" w:eastAsia="Calibri" w:hAnsi="Arial" w:cs="Arial"/>
          <w:b/>
          <w:bCs/>
          <w:color w:val="000000" w:themeColor="text1"/>
          <w:sz w:val="26"/>
          <w:szCs w:val="26"/>
        </w:rPr>
        <w:t>REVOCABLES</w:t>
      </w:r>
      <w:r w:rsidRPr="009F0391">
        <w:rPr>
          <w:rFonts w:ascii="Arial" w:eastAsia="Calibri" w:hAnsi="Arial" w:cs="Arial"/>
          <w:bCs/>
          <w:color w:val="000000" w:themeColor="text1"/>
          <w:sz w:val="26"/>
          <w:szCs w:val="26"/>
        </w:rPr>
        <w:t xml:space="preserve"> </w:t>
      </w:r>
      <w:r w:rsidRPr="009F0391">
        <w:rPr>
          <w:rFonts w:ascii="Arial" w:eastAsia="Calibri" w:hAnsi="Arial" w:cs="Arial"/>
          <w:b/>
          <w:bCs/>
          <w:color w:val="000000" w:themeColor="text1"/>
          <w:sz w:val="26"/>
          <w:szCs w:val="26"/>
        </w:rPr>
        <w:t xml:space="preserve">NO TIENE FECHA DE VENCIMIENTO YA QUE ES POR TIEMPO </w:t>
      </w:r>
      <w:r w:rsidRPr="009F0391">
        <w:rPr>
          <w:rFonts w:ascii="Arial" w:eastAsia="Calibri" w:hAnsi="Arial" w:cs="Arial"/>
          <w:b/>
          <w:bCs/>
          <w:color w:val="000000" w:themeColor="text1"/>
          <w:sz w:val="26"/>
          <w:szCs w:val="26"/>
          <w:u w:val="single"/>
        </w:rPr>
        <w:t>DEFINITIVO</w:t>
      </w:r>
      <w:r w:rsidR="009F0391">
        <w:rPr>
          <w:rFonts w:ascii="Arial" w:eastAsia="Calibri" w:hAnsi="Arial" w:cs="Arial"/>
          <w:bCs/>
          <w:color w:val="000000" w:themeColor="text1"/>
          <w:sz w:val="26"/>
          <w:szCs w:val="26"/>
        </w:rPr>
        <w:t xml:space="preserve">. </w:t>
      </w:r>
    </w:p>
    <w:p w14:paraId="277D269C" w14:textId="77777777" w:rsidR="00F659A6" w:rsidRPr="009F0391" w:rsidRDefault="00F659A6" w:rsidP="00626EFC">
      <w:pPr>
        <w:spacing w:line="360" w:lineRule="auto"/>
        <w:jc w:val="both"/>
        <w:rPr>
          <w:rFonts w:ascii="Arial" w:eastAsia="Calibri" w:hAnsi="Arial" w:cs="Arial"/>
          <w:bCs/>
          <w:color w:val="000000" w:themeColor="text1"/>
          <w:sz w:val="26"/>
          <w:szCs w:val="26"/>
        </w:rPr>
      </w:pPr>
    </w:p>
    <w:p w14:paraId="073EFE79" w14:textId="77777777" w:rsidR="00F659A6" w:rsidRDefault="00F355E4" w:rsidP="00C00314">
      <w:pPr>
        <w:spacing w:line="360" w:lineRule="auto"/>
        <w:jc w:val="both"/>
        <w:rPr>
          <w:rFonts w:ascii="Arial" w:eastAsia="Calibri" w:hAnsi="Arial"/>
          <w:sz w:val="26"/>
          <w:szCs w:val="26"/>
        </w:rPr>
      </w:pPr>
      <w:r w:rsidRPr="009F0391">
        <w:rPr>
          <w:rFonts w:ascii="Arial" w:eastAsia="Calibri" w:hAnsi="Arial"/>
          <w:sz w:val="26"/>
          <w:szCs w:val="26"/>
        </w:rPr>
        <w:t xml:space="preserve">     </w:t>
      </w:r>
      <w:r w:rsidR="00C00314">
        <w:rPr>
          <w:rFonts w:ascii="Arial" w:eastAsia="Calibri" w:hAnsi="Arial"/>
          <w:sz w:val="26"/>
          <w:szCs w:val="26"/>
        </w:rPr>
        <w:tab/>
      </w:r>
      <w:r w:rsidR="00626EFC" w:rsidRPr="009F0391">
        <w:rPr>
          <w:rFonts w:ascii="Arial" w:eastAsia="Calibri" w:hAnsi="Arial"/>
          <w:sz w:val="26"/>
          <w:szCs w:val="26"/>
        </w:rPr>
        <w:t>Ahora b</w:t>
      </w:r>
      <w:r w:rsidR="009F0391">
        <w:rPr>
          <w:rFonts w:ascii="Arial" w:eastAsia="Calibri" w:hAnsi="Arial"/>
          <w:sz w:val="26"/>
          <w:szCs w:val="26"/>
        </w:rPr>
        <w:t xml:space="preserve">ien, son fundados los agravios del recurrente en virtud de que la </w:t>
      </w:r>
      <w:proofErr w:type="spellStart"/>
      <w:r w:rsidR="009F0391">
        <w:rPr>
          <w:rFonts w:ascii="Arial" w:eastAsia="Calibri" w:hAnsi="Arial"/>
          <w:sz w:val="26"/>
          <w:szCs w:val="26"/>
        </w:rPr>
        <w:t>resolutora</w:t>
      </w:r>
      <w:proofErr w:type="spellEnd"/>
      <w:r w:rsidR="009F0391">
        <w:rPr>
          <w:rFonts w:ascii="Arial" w:eastAsia="Calibri" w:hAnsi="Arial"/>
          <w:sz w:val="26"/>
          <w:szCs w:val="26"/>
        </w:rPr>
        <w:t xml:space="preserve"> varío la Litis, </w:t>
      </w:r>
      <w:r w:rsidR="009F0391">
        <w:rPr>
          <w:rFonts w:ascii="Arial" w:hAnsi="Arial" w:cs="Arial"/>
          <w:sz w:val="26"/>
          <w:szCs w:val="26"/>
        </w:rPr>
        <w:t>puesto que dejó de analizar el fondo del asunto planteado consistente en el estudio de legalidad</w:t>
      </w:r>
      <w:r w:rsidR="00952CD3">
        <w:rPr>
          <w:rFonts w:ascii="Arial" w:hAnsi="Arial" w:cs="Arial"/>
          <w:sz w:val="26"/>
          <w:szCs w:val="26"/>
        </w:rPr>
        <w:t xml:space="preserve"> o ilegalidad </w:t>
      </w:r>
      <w:r w:rsidR="00C00314">
        <w:rPr>
          <w:rFonts w:ascii="Arial" w:hAnsi="Arial" w:cs="Arial"/>
          <w:sz w:val="26"/>
          <w:szCs w:val="26"/>
        </w:rPr>
        <w:t xml:space="preserve">de </w:t>
      </w:r>
      <w:r w:rsidR="009F0391">
        <w:rPr>
          <w:rFonts w:ascii="Arial" w:eastAsia="Calibri" w:hAnsi="Arial" w:cs="Arial"/>
          <w:bCs/>
          <w:sz w:val="26"/>
          <w:szCs w:val="26"/>
        </w:rPr>
        <w:t xml:space="preserve">otorgamiento o expedición de la boleta de certeza jurídica, la orden de publicación  en el Periódico Oficial del Estado, respecto del acuerdo  de concesión 15051 de 18 de octubre de 2004, el cambio del  vehículo  con la que venía explotando, mediante expedición de la reposición  de alta vehicular  o alta de unidad  y oficio de </w:t>
      </w:r>
      <w:proofErr w:type="spellStart"/>
      <w:r w:rsidR="009F0391">
        <w:rPr>
          <w:rFonts w:ascii="Arial" w:eastAsia="Calibri" w:hAnsi="Arial" w:cs="Arial"/>
          <w:bCs/>
          <w:sz w:val="26"/>
          <w:szCs w:val="26"/>
        </w:rPr>
        <w:t>emplacamiento</w:t>
      </w:r>
      <w:proofErr w:type="spellEnd"/>
      <w:r w:rsidR="009F0391">
        <w:rPr>
          <w:rFonts w:ascii="Arial" w:eastAsia="Calibri" w:hAnsi="Arial" w:cs="Arial"/>
          <w:bCs/>
          <w:sz w:val="26"/>
          <w:szCs w:val="26"/>
        </w:rPr>
        <w:t xml:space="preserve"> respectivo</w:t>
      </w:r>
      <w:r w:rsidR="00C00314">
        <w:rPr>
          <w:rFonts w:ascii="Arial" w:hAnsi="Arial" w:cs="Arial"/>
          <w:sz w:val="26"/>
          <w:szCs w:val="26"/>
          <w:lang w:eastAsia="es-MX"/>
        </w:rPr>
        <w:t xml:space="preserve">, violentando  con su actuar </w:t>
      </w:r>
      <w:r w:rsidR="00626EFC" w:rsidRPr="009F0391">
        <w:rPr>
          <w:rFonts w:ascii="Arial" w:eastAsia="Calibri" w:hAnsi="Arial"/>
          <w:sz w:val="26"/>
          <w:szCs w:val="26"/>
        </w:rPr>
        <w:t xml:space="preserve">el artículo 177, fracciones I y II de la Ley de Justicia Administrativa para el Estado de Oaxaca, </w:t>
      </w:r>
      <w:r w:rsidR="00C00314">
        <w:rPr>
          <w:rFonts w:ascii="Arial" w:eastAsia="Calibri" w:hAnsi="Arial"/>
          <w:sz w:val="26"/>
          <w:szCs w:val="26"/>
        </w:rPr>
        <w:t xml:space="preserve"> mismas que </w:t>
      </w:r>
      <w:r w:rsidR="00626EFC" w:rsidRPr="009F0391">
        <w:rPr>
          <w:rFonts w:ascii="Arial" w:eastAsia="Calibri" w:hAnsi="Arial"/>
          <w:sz w:val="26"/>
          <w:szCs w:val="26"/>
        </w:rPr>
        <w:t>señala</w:t>
      </w:r>
      <w:r w:rsidR="00C00314">
        <w:rPr>
          <w:rFonts w:ascii="Arial" w:eastAsia="Calibri" w:hAnsi="Arial"/>
          <w:sz w:val="26"/>
          <w:szCs w:val="26"/>
        </w:rPr>
        <w:t>n</w:t>
      </w:r>
      <w:r w:rsidR="00626EFC" w:rsidRPr="009F0391">
        <w:rPr>
          <w:rFonts w:ascii="Arial" w:eastAsia="Calibri" w:hAnsi="Arial"/>
          <w:sz w:val="26"/>
          <w:szCs w:val="26"/>
        </w:rPr>
        <w:t xml:space="preserve"> en sus fracciones: </w:t>
      </w:r>
    </w:p>
    <w:p w14:paraId="3B078CB0" w14:textId="02A5FFB3" w:rsidR="00F659A6" w:rsidRDefault="00626EFC" w:rsidP="00F659A6">
      <w:pPr>
        <w:spacing w:line="360" w:lineRule="auto"/>
        <w:ind w:left="567"/>
        <w:jc w:val="both"/>
        <w:rPr>
          <w:rFonts w:ascii="Arial" w:eastAsia="Calibri" w:hAnsi="Arial"/>
          <w:b/>
        </w:rPr>
      </w:pPr>
      <w:r w:rsidRPr="00F659A6">
        <w:rPr>
          <w:rFonts w:ascii="Arial" w:eastAsia="Calibri" w:hAnsi="Arial"/>
          <w:b/>
        </w:rPr>
        <w:t xml:space="preserve">I.- La fijación clara y precisa de los puntos controvertidos, la exposición de las razones por la que, en su caso, se haga </w:t>
      </w:r>
      <w:r w:rsidR="00F659A6">
        <w:rPr>
          <w:rFonts w:ascii="Arial" w:eastAsia="Calibri" w:hAnsi="Arial"/>
          <w:b/>
        </w:rPr>
        <w:t xml:space="preserve">uso de la facultad para suplir </w:t>
      </w:r>
      <w:r w:rsidRPr="00F659A6">
        <w:rPr>
          <w:rFonts w:ascii="Arial" w:eastAsia="Calibri" w:hAnsi="Arial"/>
          <w:b/>
        </w:rPr>
        <w:t xml:space="preserve">la deficiencia de la queja, así como el examen y valoración de las pruebas que se haya rendido: </w:t>
      </w:r>
    </w:p>
    <w:p w14:paraId="4E119A5D" w14:textId="1E3D5214" w:rsidR="00626EFC" w:rsidRPr="00F659A6" w:rsidRDefault="00626EFC" w:rsidP="00F659A6">
      <w:pPr>
        <w:spacing w:line="360" w:lineRule="auto"/>
        <w:ind w:left="567"/>
        <w:jc w:val="both"/>
        <w:rPr>
          <w:rFonts w:ascii="Arial" w:eastAsia="Calibri" w:hAnsi="Arial"/>
        </w:rPr>
      </w:pPr>
      <w:r w:rsidRPr="00F659A6">
        <w:rPr>
          <w:rFonts w:ascii="Arial" w:eastAsia="Calibri" w:hAnsi="Arial"/>
          <w:b/>
        </w:rPr>
        <w:t xml:space="preserve">II.- La exposición debidamente fundada y motivada de las consideraciones en que se basa la resolución, </w:t>
      </w:r>
      <w:r w:rsidR="00E82EEE" w:rsidRPr="00F659A6">
        <w:rPr>
          <w:rFonts w:ascii="Arial" w:eastAsia="Calibri" w:hAnsi="Arial"/>
          <w:b/>
        </w:rPr>
        <w:t>y…</w:t>
      </w:r>
      <w:r w:rsidRPr="00F659A6">
        <w:rPr>
          <w:rFonts w:ascii="Arial" w:eastAsia="Calibri" w:hAnsi="Arial"/>
          <w:b/>
        </w:rPr>
        <w:t>”.</w:t>
      </w:r>
      <w:r w:rsidRPr="00F659A6">
        <w:rPr>
          <w:rFonts w:ascii="Arial" w:eastAsia="Calibri" w:hAnsi="Arial"/>
        </w:rPr>
        <w:t xml:space="preserve"> </w:t>
      </w:r>
    </w:p>
    <w:p w14:paraId="145BCB36" w14:textId="21DF0316" w:rsidR="00626EFC" w:rsidRPr="009F0391" w:rsidRDefault="00626EFC" w:rsidP="00626EFC">
      <w:pPr>
        <w:spacing w:line="360" w:lineRule="auto"/>
        <w:ind w:firstLine="360"/>
        <w:jc w:val="both"/>
        <w:rPr>
          <w:rFonts w:ascii="Arial" w:eastAsia="Calibri" w:hAnsi="Arial"/>
          <w:sz w:val="26"/>
          <w:szCs w:val="26"/>
        </w:rPr>
      </w:pPr>
      <w:r w:rsidRPr="009F0391">
        <w:rPr>
          <w:rFonts w:ascii="Arial" w:eastAsia="Calibri" w:hAnsi="Arial"/>
          <w:sz w:val="26"/>
          <w:szCs w:val="26"/>
        </w:rPr>
        <w:t>En efecto, el juzgador debe limitarse a los puntos controvertidos y a las cuestiones planteadas, resolverlos todos, sin dejar alguno pendiente; virtud al cual, sólo debe juzgar las cuestiones planteadas por las partes.</w:t>
      </w:r>
      <w:r w:rsidR="00C91BC4">
        <w:rPr>
          <w:rFonts w:ascii="Arial" w:eastAsia="Calibri" w:hAnsi="Arial"/>
          <w:sz w:val="26"/>
          <w:szCs w:val="26"/>
        </w:rPr>
        <w:t xml:space="preserve"> </w:t>
      </w:r>
    </w:p>
    <w:p w14:paraId="208F9FE6" w14:textId="77777777" w:rsidR="00626EFC" w:rsidRPr="009F0391" w:rsidRDefault="00626EFC" w:rsidP="00626EFC">
      <w:pPr>
        <w:spacing w:line="360" w:lineRule="auto"/>
        <w:ind w:firstLine="360"/>
        <w:jc w:val="both"/>
        <w:rPr>
          <w:rFonts w:ascii="Arial" w:eastAsia="Calibri" w:hAnsi="Arial"/>
          <w:sz w:val="26"/>
          <w:szCs w:val="26"/>
        </w:rPr>
      </w:pPr>
      <w:r w:rsidRPr="009F0391">
        <w:rPr>
          <w:rFonts w:ascii="Arial" w:eastAsia="Calibri" w:hAnsi="Arial"/>
          <w:sz w:val="26"/>
          <w:szCs w:val="26"/>
        </w:rPr>
        <w:t>Los Tribunales del Poder Judicial de la Federación han distinguido entre congruencia interna y congruencia externa de la sentencia.</w:t>
      </w:r>
    </w:p>
    <w:p w14:paraId="40F606C2" w14:textId="77777777" w:rsidR="00626EFC" w:rsidRPr="009F0391" w:rsidRDefault="00626EFC" w:rsidP="00626EFC">
      <w:pPr>
        <w:spacing w:line="360" w:lineRule="auto"/>
        <w:ind w:firstLine="360"/>
        <w:jc w:val="both"/>
        <w:rPr>
          <w:rFonts w:ascii="Arial" w:eastAsia="Calibri" w:hAnsi="Arial"/>
          <w:sz w:val="26"/>
          <w:szCs w:val="26"/>
        </w:rPr>
      </w:pPr>
      <w:r w:rsidRPr="009F0391">
        <w:rPr>
          <w:rFonts w:ascii="Arial" w:eastAsia="Calibri" w:hAnsi="Arial"/>
          <w:sz w:val="26"/>
          <w:szCs w:val="26"/>
        </w:rPr>
        <w:t>En donde, el principio de congruencia externa de la sentencia estriba en que ésta debe dictarse en concordancia con la demanda y por la contestación formulada por las partes y; por lo que se refiere a la congruencia interna, se entiende que la sentencia no debe contener resoluciones ni afirmaciones que se contradigan entre sí.</w:t>
      </w:r>
    </w:p>
    <w:p w14:paraId="396E0FE7" w14:textId="77777777" w:rsidR="00626EFC" w:rsidRPr="009F0391" w:rsidRDefault="00626EFC" w:rsidP="00626EFC">
      <w:pPr>
        <w:spacing w:line="360" w:lineRule="auto"/>
        <w:ind w:firstLine="360"/>
        <w:jc w:val="both"/>
        <w:rPr>
          <w:rFonts w:ascii="Arial" w:eastAsia="Calibri" w:hAnsi="Arial"/>
          <w:sz w:val="26"/>
          <w:szCs w:val="26"/>
        </w:rPr>
      </w:pPr>
      <w:r w:rsidRPr="009F0391">
        <w:rPr>
          <w:rFonts w:ascii="Arial" w:eastAsia="Calibri" w:hAnsi="Arial"/>
          <w:sz w:val="26"/>
          <w:szCs w:val="26"/>
        </w:rPr>
        <w:t>De ahí que, la congruencia externa consiste en la concordancia entre lo resuelto y lo pedido, y la interna en la coherencia de las afirmaciones y determinaciones contendidas en la resolución del asunto.</w:t>
      </w:r>
    </w:p>
    <w:p w14:paraId="4E64D913" w14:textId="6485BB4F" w:rsidR="00626EFC" w:rsidRPr="009F0391" w:rsidRDefault="001A16C0" w:rsidP="00626EFC">
      <w:pPr>
        <w:spacing w:line="360" w:lineRule="auto"/>
        <w:ind w:firstLine="360"/>
        <w:jc w:val="both"/>
        <w:rPr>
          <w:rFonts w:ascii="Arial" w:eastAsia="Calibri" w:hAnsi="Arial"/>
          <w:sz w:val="26"/>
          <w:szCs w:val="26"/>
        </w:rPr>
      </w:pPr>
      <w:r w:rsidRPr="009F0391">
        <w:rPr>
          <w:rFonts w:ascii="Arial" w:eastAsia="Calibri" w:hAnsi="Arial"/>
          <w:sz w:val="26"/>
          <w:szCs w:val="26"/>
        </w:rPr>
        <w:t xml:space="preserve">    </w:t>
      </w:r>
      <w:r w:rsidR="00626EFC" w:rsidRPr="009F0391">
        <w:rPr>
          <w:rFonts w:ascii="Arial" w:eastAsia="Calibri" w:hAnsi="Arial"/>
          <w:sz w:val="26"/>
          <w:szCs w:val="26"/>
        </w:rPr>
        <w:t>Apoya lo anterior, la jurisprudencia I 1º.A</w:t>
      </w:r>
      <w:r w:rsidR="008F2D0A" w:rsidRPr="009F0391">
        <w:rPr>
          <w:rFonts w:ascii="Arial" w:eastAsia="Calibri" w:hAnsi="Arial"/>
          <w:sz w:val="26"/>
          <w:szCs w:val="26"/>
        </w:rPr>
        <w:t xml:space="preserve">. J/9, sustentada por el Primer </w:t>
      </w:r>
      <w:r w:rsidR="00626EFC" w:rsidRPr="009F0391">
        <w:rPr>
          <w:rFonts w:ascii="Arial" w:eastAsia="Calibri" w:hAnsi="Arial"/>
          <w:sz w:val="26"/>
          <w:szCs w:val="26"/>
        </w:rPr>
        <w:t>Tribunal Colegiados en Materia Administrativa del Primer Circuito, visible en el Semanario Judicial de la Federación y su Gaceta. Novena Época, Tomo VIII, agosto de 1998, página 764, con número de registro 195706, de rubro y texto:</w:t>
      </w:r>
    </w:p>
    <w:p w14:paraId="0DE884AC" w14:textId="77777777" w:rsidR="00626EFC" w:rsidRPr="00516BCD" w:rsidRDefault="00626EFC" w:rsidP="00626EFC">
      <w:pPr>
        <w:ind w:left="851" w:right="567"/>
        <w:jc w:val="both"/>
        <w:rPr>
          <w:rFonts w:ascii="Arial" w:eastAsia="Calibri" w:hAnsi="Arial"/>
        </w:rPr>
      </w:pPr>
      <w:r w:rsidRPr="00F958CF">
        <w:rPr>
          <w:rFonts w:ascii="Arial" w:eastAsia="Calibri" w:hAnsi="Arial"/>
        </w:rPr>
        <w:t xml:space="preserve">“PRINCIPIO DE CONGRUENCIA. QUE DEBE PREVALECER EN TODA RESOLUCIÓN JUDICIAL. En todo procedimiento judicial debe cuidarse que se cumpla con el principio de congruencia al resolver la controversia planteada, que en esencia está referido a que la sentencia se congruente no sólo consigo misma sino también con la </w:t>
      </w:r>
      <w:proofErr w:type="spellStart"/>
      <w:r w:rsidRPr="00F958CF">
        <w:rPr>
          <w:rFonts w:ascii="Arial" w:eastAsia="Calibri" w:hAnsi="Arial"/>
        </w:rPr>
        <w:t>litis</w:t>
      </w:r>
      <w:proofErr w:type="spellEnd"/>
      <w:r w:rsidRPr="00F958CF">
        <w:rPr>
          <w:rFonts w:ascii="Arial" w:eastAsia="Calibri" w:hAnsi="Arial"/>
        </w:rPr>
        <w:t>, lo cual estriba en que al resolverse dicha controversia se haga atendiendo a lo planteado por las partes, sin omitir nada ni añadir cuestiones no hechas valer, ni contener consideraciones contrarias entre sí o con los puntos resolutivos.”</w:t>
      </w:r>
      <w:r>
        <w:rPr>
          <w:rFonts w:ascii="Arial" w:eastAsia="Calibri" w:hAnsi="Arial"/>
        </w:rPr>
        <w:t xml:space="preserve"> </w:t>
      </w:r>
    </w:p>
    <w:p w14:paraId="2C367B00" w14:textId="77777777" w:rsidR="00626EFC" w:rsidRPr="00516BCD" w:rsidRDefault="00626EFC" w:rsidP="00626EFC">
      <w:pPr>
        <w:spacing w:line="360" w:lineRule="auto"/>
        <w:ind w:firstLine="357"/>
        <w:jc w:val="both"/>
        <w:rPr>
          <w:rFonts w:ascii="Arial" w:eastAsia="Calibri" w:hAnsi="Arial"/>
          <w:sz w:val="26"/>
          <w:szCs w:val="26"/>
        </w:rPr>
      </w:pPr>
      <w:r w:rsidRPr="00516BCD">
        <w:rPr>
          <w:rFonts w:ascii="Arial" w:eastAsia="Calibri" w:hAnsi="Arial"/>
          <w:sz w:val="26"/>
          <w:szCs w:val="26"/>
        </w:rPr>
        <w:t>Así como la tesis pronunciada por el Tercer Tribunal Colegiado del Segundo Circuito, que se comparte, consultable en el Semanario Judicial de la Federación, Octava Época, Tomo III, Segunda Parte-1, Enero-Junio de 1989, página 221, con número de registro 228210, de rubro y texto siguientes:</w:t>
      </w:r>
    </w:p>
    <w:p w14:paraId="41197189" w14:textId="77777777" w:rsidR="00626EFC" w:rsidRPr="00F958CF" w:rsidRDefault="00626EFC" w:rsidP="00626EFC">
      <w:pPr>
        <w:ind w:left="851" w:right="567"/>
        <w:jc w:val="both"/>
        <w:rPr>
          <w:rFonts w:ascii="Arial" w:eastAsia="Calibri" w:hAnsi="Arial"/>
        </w:rPr>
      </w:pPr>
      <w:r w:rsidRPr="00F958CF">
        <w:rPr>
          <w:rFonts w:ascii="Arial" w:eastAsia="Calibri" w:hAnsi="Arial"/>
        </w:rPr>
        <w:t>“CONGRUENCIA. PRINCIPIO DE, EN LA SENTENCIA. La congruencia significa ilación o aceptación ante los motivos de inconformidad o reclamo y la concesión que hace el juzgador a ello, o sea, conformidad en cuanto a extensión, concepto y alcance entre lo resuelto por el órgano jurisdiccional y las demandas, contestaciones y demás pretensiones deducidas oportunamente por las partes.”</w:t>
      </w:r>
    </w:p>
    <w:p w14:paraId="08257A00" w14:textId="77777777" w:rsidR="00626EFC" w:rsidRPr="000F68D0" w:rsidRDefault="00626EFC" w:rsidP="00626EFC">
      <w:pPr>
        <w:jc w:val="both"/>
        <w:rPr>
          <w:rFonts w:ascii="Arial" w:eastAsia="Calibri" w:hAnsi="Arial"/>
          <w:sz w:val="28"/>
        </w:rPr>
      </w:pPr>
    </w:p>
    <w:p w14:paraId="20C614B0" w14:textId="77777777" w:rsidR="00626EFC" w:rsidRPr="00516BCD" w:rsidRDefault="00626EFC" w:rsidP="00626EFC">
      <w:pPr>
        <w:spacing w:line="360" w:lineRule="auto"/>
        <w:ind w:firstLine="357"/>
        <w:jc w:val="both"/>
        <w:rPr>
          <w:rFonts w:ascii="Arial" w:eastAsia="Calibri" w:hAnsi="Arial"/>
          <w:sz w:val="26"/>
          <w:szCs w:val="26"/>
        </w:rPr>
      </w:pPr>
      <w:r w:rsidRPr="00516BCD">
        <w:rPr>
          <w:rFonts w:ascii="Arial" w:eastAsia="Calibri" w:hAnsi="Arial"/>
          <w:sz w:val="26"/>
          <w:szCs w:val="26"/>
        </w:rPr>
        <w:t>De lo anterior, es dable concluir que, para que una sentencia de primer grado sea congruente, debe dictarse en concordancia con lo reclamado en la demanda y la contestación y en la de segunda instancia, en atender exclusivamen</w:t>
      </w:r>
      <w:r>
        <w:rPr>
          <w:rFonts w:ascii="Arial" w:eastAsia="Calibri" w:hAnsi="Arial"/>
          <w:sz w:val="26"/>
          <w:szCs w:val="26"/>
        </w:rPr>
        <w:t xml:space="preserve">te los agravios expresados por </w:t>
      </w:r>
      <w:r w:rsidRPr="00516BCD">
        <w:rPr>
          <w:rFonts w:ascii="Arial" w:eastAsia="Calibri" w:hAnsi="Arial"/>
          <w:sz w:val="26"/>
          <w:szCs w:val="26"/>
        </w:rPr>
        <w:t>l</w:t>
      </w:r>
      <w:r>
        <w:rPr>
          <w:rFonts w:ascii="Arial" w:eastAsia="Calibri" w:hAnsi="Arial"/>
          <w:sz w:val="26"/>
          <w:szCs w:val="26"/>
        </w:rPr>
        <w:t>a</w:t>
      </w:r>
      <w:r w:rsidRPr="00516BCD">
        <w:rPr>
          <w:rFonts w:ascii="Arial" w:eastAsia="Calibri" w:hAnsi="Arial"/>
          <w:sz w:val="26"/>
          <w:szCs w:val="26"/>
        </w:rPr>
        <w:t xml:space="preserve"> apelante.</w:t>
      </w:r>
    </w:p>
    <w:p w14:paraId="6A1470BD" w14:textId="77777777" w:rsidR="00626EFC" w:rsidRPr="00516BCD" w:rsidRDefault="00626EFC" w:rsidP="00626EFC">
      <w:pPr>
        <w:spacing w:line="360" w:lineRule="auto"/>
        <w:ind w:firstLine="357"/>
        <w:jc w:val="both"/>
        <w:rPr>
          <w:rFonts w:ascii="Arial" w:eastAsia="Calibri" w:hAnsi="Arial"/>
          <w:sz w:val="26"/>
          <w:szCs w:val="26"/>
        </w:rPr>
      </w:pPr>
      <w:r w:rsidRPr="00516BCD">
        <w:rPr>
          <w:rFonts w:ascii="Arial" w:eastAsia="Calibri" w:hAnsi="Arial"/>
          <w:sz w:val="26"/>
          <w:szCs w:val="26"/>
        </w:rPr>
        <w:t xml:space="preserve">Asimismo, también es necesario recordar que la </w:t>
      </w:r>
      <w:proofErr w:type="spellStart"/>
      <w:r w:rsidRPr="00516BCD">
        <w:rPr>
          <w:rFonts w:ascii="Arial" w:eastAsia="Calibri" w:hAnsi="Arial"/>
          <w:sz w:val="26"/>
          <w:szCs w:val="26"/>
        </w:rPr>
        <w:t>litis</w:t>
      </w:r>
      <w:proofErr w:type="spellEnd"/>
      <w:r w:rsidRPr="00516BCD">
        <w:rPr>
          <w:rFonts w:ascii="Arial" w:eastAsia="Calibri" w:hAnsi="Arial"/>
          <w:sz w:val="26"/>
          <w:szCs w:val="26"/>
        </w:rPr>
        <w:t xml:space="preserve"> en el juicio se integra con las pretensiones de los sujetos, actor y demandado, dirigidas al órgano jurisdiccional, consistentes en las razones o argumentos en que ya se apoyan las mismas, así como en las cuestiones de hecho y de derecho que las partes someten al conocimiento y decisión del juez.</w:t>
      </w:r>
    </w:p>
    <w:p w14:paraId="2D35E378" w14:textId="77777777" w:rsidR="00626EFC" w:rsidRPr="00516BCD" w:rsidRDefault="00626EFC" w:rsidP="00626EFC">
      <w:pPr>
        <w:spacing w:line="360" w:lineRule="auto"/>
        <w:ind w:firstLine="357"/>
        <w:jc w:val="both"/>
        <w:rPr>
          <w:rFonts w:ascii="Arial" w:eastAsia="Calibri" w:hAnsi="Arial"/>
          <w:sz w:val="26"/>
          <w:szCs w:val="26"/>
        </w:rPr>
      </w:pPr>
      <w:r w:rsidRPr="00516BCD">
        <w:rPr>
          <w:rFonts w:ascii="Arial" w:eastAsia="Calibri" w:hAnsi="Arial"/>
          <w:sz w:val="26"/>
          <w:szCs w:val="26"/>
        </w:rPr>
        <w:t xml:space="preserve">Sobre la integración de la </w:t>
      </w:r>
      <w:proofErr w:type="spellStart"/>
      <w:r w:rsidRPr="00516BCD">
        <w:rPr>
          <w:rFonts w:ascii="Arial" w:eastAsia="Calibri" w:hAnsi="Arial"/>
          <w:sz w:val="26"/>
          <w:szCs w:val="26"/>
        </w:rPr>
        <w:t>litis</w:t>
      </w:r>
      <w:proofErr w:type="spellEnd"/>
      <w:r w:rsidRPr="00516BCD">
        <w:rPr>
          <w:rFonts w:ascii="Arial" w:eastAsia="Calibri" w:hAnsi="Arial"/>
          <w:sz w:val="26"/>
          <w:szCs w:val="26"/>
        </w:rPr>
        <w:t xml:space="preserve"> en un  juicio, resulta ilustrativo 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14:paraId="07644026" w14:textId="77777777" w:rsidR="00626EFC" w:rsidRPr="00F958CF" w:rsidRDefault="00626EFC" w:rsidP="00626EFC">
      <w:pPr>
        <w:spacing w:line="360" w:lineRule="auto"/>
        <w:ind w:left="851" w:right="567"/>
        <w:jc w:val="both"/>
        <w:rPr>
          <w:rFonts w:ascii="Arial" w:eastAsia="Calibri" w:hAnsi="Arial"/>
        </w:rPr>
      </w:pPr>
      <w:r w:rsidRPr="00F958CF">
        <w:rPr>
          <w:rFonts w:ascii="Arial" w:eastAsia="Calibri" w:hAnsi="Arial"/>
        </w:rPr>
        <w:t xml:space="preserve">“LITIS, MATERIA DE LA.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w:t>
      </w:r>
      <w:proofErr w:type="spellStart"/>
      <w:r w:rsidRPr="00F958CF">
        <w:rPr>
          <w:rFonts w:ascii="Arial" w:eastAsia="Calibri" w:hAnsi="Arial"/>
        </w:rPr>
        <w:t>litis</w:t>
      </w:r>
      <w:proofErr w:type="spellEnd"/>
      <w:r w:rsidRPr="00F958CF">
        <w:rPr>
          <w:rFonts w:ascii="Arial" w:eastAsia="Calibri" w:hAnsi="Arial"/>
        </w:rPr>
        <w:t>;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p>
    <w:p w14:paraId="2BFDA535" w14:textId="77777777" w:rsidR="00626EFC" w:rsidRPr="0044621C" w:rsidRDefault="00626EFC" w:rsidP="00626EFC">
      <w:pPr>
        <w:spacing w:line="360" w:lineRule="auto"/>
        <w:ind w:firstLine="357"/>
        <w:jc w:val="both"/>
        <w:rPr>
          <w:rFonts w:ascii="Arial" w:eastAsia="Calibri" w:hAnsi="Arial"/>
          <w:sz w:val="26"/>
          <w:szCs w:val="26"/>
        </w:rPr>
      </w:pPr>
      <w:r w:rsidRPr="0044621C">
        <w:rPr>
          <w:rFonts w:ascii="Arial" w:eastAsia="Calibri" w:hAnsi="Arial"/>
          <w:sz w:val="26"/>
          <w:szCs w:val="26"/>
        </w:rPr>
        <w:t xml:space="preserve">Con base en lo anterior, es dable concluir que la </w:t>
      </w:r>
      <w:proofErr w:type="spellStart"/>
      <w:r w:rsidRPr="0044621C">
        <w:rPr>
          <w:rFonts w:ascii="Arial" w:eastAsia="Calibri" w:hAnsi="Arial"/>
          <w:sz w:val="26"/>
          <w:szCs w:val="26"/>
        </w:rPr>
        <w:t>litis</w:t>
      </w:r>
      <w:proofErr w:type="spellEnd"/>
      <w:r w:rsidRPr="0044621C">
        <w:rPr>
          <w:rFonts w:ascii="Arial" w:eastAsia="Calibri" w:hAnsi="Arial"/>
          <w:sz w:val="26"/>
          <w:szCs w:val="26"/>
        </w:rPr>
        <w:t xml:space="preserve"> en el proceso, se compone de los planteamientos de hechos, las cuestiones de derecho sometidas a la consideración del juez y de las razones o argumentos en que el demandado apoya una hipótesis contraria a la afirmada por el actor.</w:t>
      </w:r>
    </w:p>
    <w:p w14:paraId="3CB7ACF5" w14:textId="77777777" w:rsidR="00626EFC" w:rsidRPr="0044621C" w:rsidRDefault="00626EFC" w:rsidP="00626EFC">
      <w:pPr>
        <w:spacing w:line="360" w:lineRule="auto"/>
        <w:ind w:firstLine="357"/>
        <w:jc w:val="both"/>
        <w:rPr>
          <w:rFonts w:ascii="Arial" w:eastAsia="Calibri" w:hAnsi="Arial"/>
          <w:sz w:val="26"/>
          <w:szCs w:val="26"/>
        </w:rPr>
      </w:pPr>
      <w:r w:rsidRPr="0044621C">
        <w:rPr>
          <w:rFonts w:ascii="Arial" w:eastAsia="Calibri" w:hAnsi="Arial"/>
          <w:sz w:val="26"/>
          <w:szCs w:val="26"/>
        </w:rPr>
        <w:t xml:space="preserve">En ese contexto, resulta relevante apuntar que no basta la simple pretensión formulada por el actor al órgano jurisdiccional para que ésta se conceda, sino que es necesario que la contraparte también sea oída, a fin de que sea cumplido el principio de contradictorio que rige todo proceso y que es, lograr la igualdad de las partes, la que es corrompida cuando se introduce en la sentencia alguna cuestión  no deducida en el procedimiento, lo que además implica dejar inaudita a la contraparte, en clara violación del principio de congruencia de las sentencias, que obliga al juzgador a sentenciar en apego con la </w:t>
      </w:r>
      <w:proofErr w:type="spellStart"/>
      <w:r w:rsidRPr="0044621C">
        <w:rPr>
          <w:rFonts w:ascii="Arial" w:eastAsia="Calibri" w:hAnsi="Arial"/>
          <w:sz w:val="26"/>
          <w:szCs w:val="26"/>
        </w:rPr>
        <w:t>litis</w:t>
      </w:r>
      <w:proofErr w:type="spellEnd"/>
      <w:r w:rsidRPr="0044621C">
        <w:rPr>
          <w:rFonts w:ascii="Arial" w:eastAsia="Calibri" w:hAnsi="Arial"/>
          <w:sz w:val="26"/>
          <w:szCs w:val="26"/>
        </w:rPr>
        <w:t xml:space="preserve"> planteada, la cual, como se mencionó, se integra por las pretensiones deducidas oportunamente tanto por la parte actora, como por la demandada.</w:t>
      </w:r>
    </w:p>
    <w:p w14:paraId="7AE94811" w14:textId="0C682186" w:rsidR="009F3C8F" w:rsidRPr="00FD083F" w:rsidRDefault="001A42E5" w:rsidP="00FD083F">
      <w:pPr>
        <w:spacing w:line="360" w:lineRule="auto"/>
        <w:ind w:firstLine="357"/>
        <w:jc w:val="both"/>
        <w:rPr>
          <w:rFonts w:ascii="Arial" w:eastAsia="Calibri" w:hAnsi="Arial"/>
          <w:sz w:val="26"/>
          <w:szCs w:val="26"/>
        </w:rPr>
      </w:pPr>
      <w:r>
        <w:rPr>
          <w:rFonts w:ascii="Arial" w:eastAsia="Calibri" w:hAnsi="Arial"/>
          <w:sz w:val="26"/>
          <w:szCs w:val="26"/>
        </w:rPr>
        <w:t xml:space="preserve">    </w:t>
      </w:r>
      <w:r w:rsidR="00626EFC" w:rsidRPr="0044621C">
        <w:rPr>
          <w:rFonts w:ascii="Arial" w:eastAsia="Calibri" w:hAnsi="Arial"/>
          <w:sz w:val="26"/>
          <w:szCs w:val="26"/>
        </w:rPr>
        <w:t>Por tanto, es obligación del juzgador atender al estudio integral de la acción, sea principal o reconvencional, y al escrito de contestación correspondiente, en el que pueden existir excepciones y defensas, así como el planteamiento que en relación a las pretensiones, hechos y derecho, haya establecido el demandado.</w:t>
      </w:r>
    </w:p>
    <w:p w14:paraId="3257CBB5" w14:textId="380D2A4D" w:rsidR="00EF1CA2" w:rsidRDefault="00EF1CA2" w:rsidP="00EF1CA2">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D</w:t>
      </w:r>
      <w:r w:rsidR="001A42E5">
        <w:rPr>
          <w:rFonts w:ascii="Arial" w:hAnsi="Arial" w:cs="Arial"/>
          <w:bCs/>
          <w:color w:val="000000"/>
          <w:sz w:val="26"/>
          <w:szCs w:val="26"/>
          <w:lang w:val="es-MX"/>
        </w:rPr>
        <w:t xml:space="preserve">e manera que, al </w:t>
      </w:r>
      <w:r>
        <w:rPr>
          <w:rFonts w:ascii="Arial" w:hAnsi="Arial" w:cs="Arial"/>
          <w:bCs/>
          <w:color w:val="000000"/>
          <w:sz w:val="26"/>
          <w:szCs w:val="26"/>
          <w:lang w:val="es-MX"/>
        </w:rPr>
        <w:t xml:space="preserve">no haberlo considerado de esta forma la primera instancia, irrogó el agravio aducido, </w:t>
      </w:r>
      <w:r>
        <w:rPr>
          <w:rFonts w:ascii="Arial" w:hAnsi="Arial" w:cs="Arial"/>
          <w:sz w:val="26"/>
          <w:szCs w:val="26"/>
        </w:rPr>
        <w:t xml:space="preserve">pues ilegalmente consideró que se </w:t>
      </w:r>
      <w:r w:rsidR="001A42E5" w:rsidRPr="0039664F">
        <w:rPr>
          <w:rFonts w:ascii="Arial" w:hAnsi="Arial" w:cs="Arial"/>
          <w:b/>
          <w:sz w:val="26"/>
          <w:szCs w:val="26"/>
        </w:rPr>
        <w:t>SOBRESEE</w:t>
      </w:r>
      <w:r w:rsidR="001A42E5">
        <w:rPr>
          <w:rFonts w:ascii="Arial" w:hAnsi="Arial" w:cs="Arial"/>
          <w:sz w:val="26"/>
          <w:szCs w:val="26"/>
        </w:rPr>
        <w:t xml:space="preserve"> el presente caso.  </w:t>
      </w:r>
    </w:p>
    <w:p w14:paraId="61C4A6CE" w14:textId="31828A74" w:rsidR="001F613A" w:rsidRDefault="001F613A" w:rsidP="007E101F">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REVOCAR</w:t>
      </w:r>
      <w:r>
        <w:rPr>
          <w:rFonts w:ascii="Arial" w:hAnsi="Arial" w:cs="Arial"/>
          <w:sz w:val="26"/>
          <w:szCs w:val="26"/>
        </w:rPr>
        <w:t xml:space="preserve"> la  sentencia de fecha veintinueve de enero de dos mil dieciocho resolución recurrida, para dejar sin efecto la declaración de sobreseimiento decretada y puesto que, como consecuencia, se dejó de analizar el fondo del asunto planteado consistente en el estudio de legalidad o ilegalidad   </w:t>
      </w:r>
      <w:r w:rsidR="007E101F">
        <w:rPr>
          <w:rFonts w:ascii="Arial" w:hAnsi="Arial" w:cs="Arial"/>
          <w:sz w:val="26"/>
          <w:szCs w:val="26"/>
        </w:rPr>
        <w:t xml:space="preserve">relativos a la solicitud de </w:t>
      </w:r>
      <w:r w:rsidR="007E101F">
        <w:rPr>
          <w:rFonts w:ascii="Arial" w:eastAsia="Calibri" w:hAnsi="Arial" w:cs="Arial"/>
          <w:bCs/>
          <w:sz w:val="26"/>
          <w:szCs w:val="26"/>
        </w:rPr>
        <w:t xml:space="preserve"> otorgamiento o expedición de la boleta de certeza jurídica, la orden de publicación  en el Periódico Oficial del Estado, respecto del acuerdo  de concesión 15051 de 18 de octubre de 2004, el cambio del  vehículo  con la que venía explotando, mediante expedición de la reposición  de alta vehicular  o alta de unidad  y oficio de </w:t>
      </w:r>
      <w:proofErr w:type="spellStart"/>
      <w:r w:rsidR="007E101F">
        <w:rPr>
          <w:rFonts w:ascii="Arial" w:eastAsia="Calibri" w:hAnsi="Arial" w:cs="Arial"/>
          <w:bCs/>
          <w:sz w:val="26"/>
          <w:szCs w:val="26"/>
        </w:rPr>
        <w:t>emplacamiento</w:t>
      </w:r>
      <w:proofErr w:type="spellEnd"/>
      <w:r w:rsidR="007E101F">
        <w:rPr>
          <w:rFonts w:ascii="Arial" w:eastAsia="Calibri" w:hAnsi="Arial" w:cs="Arial"/>
          <w:bCs/>
          <w:sz w:val="26"/>
          <w:szCs w:val="26"/>
        </w:rPr>
        <w:t xml:space="preserve"> respectivo</w:t>
      </w:r>
      <w:r>
        <w:rPr>
          <w:rFonts w:ascii="Arial" w:hAnsi="Arial" w:cs="Arial"/>
          <w:sz w:val="26"/>
          <w:szCs w:val="26"/>
          <w:lang w:val="es-MX" w:eastAsia="es-MX"/>
        </w:rPr>
        <w:t>; análisis que debe realizarse en base a los conceptos de impugnación vertidos en contra de dicho</w:t>
      </w:r>
      <w:r w:rsidR="007E101F">
        <w:rPr>
          <w:rFonts w:ascii="Arial" w:hAnsi="Arial" w:cs="Arial"/>
          <w:sz w:val="26"/>
          <w:szCs w:val="26"/>
          <w:lang w:val="es-MX" w:eastAsia="es-MX"/>
        </w:rPr>
        <w:t>s</w:t>
      </w:r>
      <w:r>
        <w:rPr>
          <w:rFonts w:ascii="Arial" w:hAnsi="Arial" w:cs="Arial"/>
          <w:sz w:val="26"/>
          <w:szCs w:val="26"/>
          <w:lang w:val="es-MX" w:eastAsia="es-MX"/>
        </w:rPr>
        <w:t xml:space="preserve"> acto</w:t>
      </w:r>
      <w:r w:rsidR="007E101F">
        <w:rPr>
          <w:rFonts w:ascii="Arial" w:hAnsi="Arial" w:cs="Arial"/>
          <w:sz w:val="26"/>
          <w:szCs w:val="26"/>
          <w:lang w:val="es-MX" w:eastAsia="es-MX"/>
        </w:rPr>
        <w:t>s</w:t>
      </w:r>
      <w:r>
        <w:rPr>
          <w:rFonts w:ascii="Arial" w:hAnsi="Arial" w:cs="Arial"/>
          <w:sz w:val="26"/>
          <w:szCs w:val="26"/>
          <w:lang w:val="es-MX" w:eastAsia="es-MX"/>
        </w:rPr>
        <w:t xml:space="preserve">; debiendo así </w:t>
      </w:r>
      <w:r>
        <w:rPr>
          <w:rFonts w:ascii="Arial" w:hAnsi="Arial" w:cs="Arial"/>
          <w:sz w:val="26"/>
          <w:szCs w:val="26"/>
        </w:rPr>
        <w:t>la Sala Unitaria de Primera Instancia agotar su jurisdicción, resolviendo lo que en derecho proceda; por lo que deben volver los autos a la Sala de origen,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w:t>
      </w:r>
    </w:p>
    <w:p w14:paraId="1DC6893F" w14:textId="77777777" w:rsidR="00EF1CA2" w:rsidRDefault="00EF1CA2" w:rsidP="00EF1CA2">
      <w:pPr>
        <w:widowControl w:val="0"/>
        <w:autoSpaceDE w:val="0"/>
        <w:autoSpaceDN w:val="0"/>
        <w:adjustRightInd w:val="0"/>
        <w:spacing w:before="240" w:line="360" w:lineRule="auto"/>
        <w:ind w:firstLine="708"/>
        <w:jc w:val="both"/>
        <w:rPr>
          <w:rFonts w:ascii="Arial" w:eastAsia="Times New Roman" w:hAnsi="Arial"/>
          <w:color w:val="000000"/>
          <w:sz w:val="26"/>
          <w:szCs w:val="26"/>
        </w:rPr>
      </w:pPr>
      <w:r w:rsidRPr="00364D00">
        <w:rPr>
          <w:rFonts w:ascii="Arial" w:hAnsi="Arial" w:cs="Arial"/>
          <w:bCs/>
          <w:sz w:val="26"/>
          <w:szCs w:val="26"/>
        </w:rPr>
        <w:t xml:space="preserve">Tiene aplicación </w:t>
      </w:r>
      <w:r>
        <w:rPr>
          <w:rFonts w:ascii="Arial" w:hAnsi="Arial" w:cs="Arial"/>
          <w:bCs/>
          <w:sz w:val="26"/>
          <w:szCs w:val="26"/>
        </w:rPr>
        <w:t xml:space="preserve">el criterio emitido por la Sala Superior de este Tribunal,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Tribunal de lo 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8, de rubro y texto, siguientes:</w:t>
      </w:r>
    </w:p>
    <w:p w14:paraId="6A0DDDB8" w14:textId="35E602DF" w:rsidR="00EF1CA2" w:rsidRPr="005F62FE" w:rsidRDefault="00EF1CA2" w:rsidP="005F62FE">
      <w:pPr>
        <w:pStyle w:val="Pa1"/>
        <w:spacing w:before="240" w:line="360" w:lineRule="auto"/>
        <w:ind w:left="1134" w:right="709"/>
        <w:jc w:val="both"/>
        <w:rPr>
          <w:rFonts w:ascii="Arial" w:eastAsia="Times New Roman" w:hAnsi="Arial" w:cs="Arial"/>
          <w:i/>
          <w:color w:val="000000"/>
          <w:sz w:val="22"/>
          <w:szCs w:val="22"/>
        </w:rPr>
      </w:pPr>
      <w:r w:rsidRPr="001476B9">
        <w:rPr>
          <w:rFonts w:ascii="Arial" w:eastAsia="Times New Roman" w:hAnsi="Arial" w:cs="Arial"/>
          <w:color w:val="000000"/>
          <w:sz w:val="22"/>
          <w:szCs w:val="22"/>
        </w:rPr>
        <w:t>“</w:t>
      </w:r>
      <w:r w:rsidRPr="001476B9">
        <w:rPr>
          <w:rFonts w:ascii="Arial" w:hAnsi="Arial" w:cs="Arial"/>
          <w:b/>
          <w:bCs/>
          <w:i/>
          <w:color w:val="000000"/>
          <w:sz w:val="22"/>
          <w:szCs w:val="22"/>
        </w:rPr>
        <w:t xml:space="preserve">SENTENCIA PARA EFECTOS. LA SALA SUPERIOR AL RESOLVER EL RECURSO DE REVISIÓN NO PUEDE DICTARLA CUANDO LA PRIMERA INSTANCIA NO </w:t>
      </w:r>
      <w:r w:rsidRPr="001476B9">
        <w:rPr>
          <w:rFonts w:ascii="Arial" w:hAnsi="Arial" w:cs="Arial"/>
          <w:b/>
          <w:bCs/>
          <w:color w:val="000000"/>
          <w:sz w:val="22"/>
          <w:szCs w:val="22"/>
        </w:rPr>
        <w:t xml:space="preserve">AGOTÓ SU JURISDICCIÓN. </w:t>
      </w:r>
      <w:r w:rsidRPr="001476B9">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1476B9">
        <w:rPr>
          <w:rFonts w:ascii="Arial" w:eastAsia="Times New Roman" w:hAnsi="Arial" w:cs="Arial"/>
          <w:i/>
          <w:color w:val="000000"/>
          <w:sz w:val="22"/>
          <w:szCs w:val="22"/>
        </w:rPr>
        <w:t>.”</w:t>
      </w:r>
    </w:p>
    <w:p w14:paraId="30FFBB74" w14:textId="38AA6238" w:rsidR="00EF1CA2" w:rsidRPr="001476B9" w:rsidRDefault="00EF1CA2" w:rsidP="00EF1CA2">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Ante tales consideraciones, con fundamento en los artículos 207 y 208 de la Ley de Justicia Administrativa para el Estado, </w:t>
      </w:r>
      <w:r w:rsidR="00714274">
        <w:rPr>
          <w:rFonts w:ascii="Arial" w:hAnsi="Arial" w:cs="Arial"/>
          <w:sz w:val="26"/>
          <w:szCs w:val="26"/>
          <w:lang w:val="es-MX"/>
        </w:rPr>
        <w:t xml:space="preserve">vigente hasta el veinte de octubre de dos mil diecisiete, </w:t>
      </w:r>
      <w:r>
        <w:rPr>
          <w:rFonts w:ascii="Arial" w:hAnsi="Arial" w:cs="Arial"/>
          <w:sz w:val="26"/>
          <w:szCs w:val="26"/>
          <w:lang w:val="es-MX"/>
        </w:rPr>
        <w:t>se:</w:t>
      </w:r>
    </w:p>
    <w:p w14:paraId="5DC72249" w14:textId="56EDD460" w:rsidR="00EF1CA2" w:rsidRDefault="00EF1CA2" w:rsidP="00EF1CA2">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r w:rsidR="007E101F">
        <w:rPr>
          <w:rFonts w:ascii="Arial" w:hAnsi="Arial" w:cs="Arial"/>
          <w:b/>
          <w:color w:val="000000"/>
          <w:sz w:val="26"/>
          <w:szCs w:val="26"/>
        </w:rPr>
        <w:t>:</w:t>
      </w:r>
    </w:p>
    <w:p w14:paraId="3B7B3FDC" w14:textId="77777777" w:rsidR="00EF1CA2" w:rsidRDefault="00EF1CA2" w:rsidP="00EF1CA2">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 xml:space="preserve">la sentencia recurrida, por las razones expuestas en el considerando que antecede. </w:t>
      </w:r>
    </w:p>
    <w:p w14:paraId="024D9FA3" w14:textId="77777777" w:rsidR="00EF1CA2" w:rsidRDefault="00EF1CA2" w:rsidP="00EF1CA2">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a fin de que agote su jurisdicción</w:t>
      </w:r>
      <w:r>
        <w:rPr>
          <w:rFonts w:ascii="Arial" w:hAnsi="Arial" w:cs="Arial"/>
          <w:sz w:val="26"/>
          <w:szCs w:val="26"/>
        </w:rPr>
        <w:t xml:space="preserve"> en los términos señalados.</w:t>
      </w:r>
    </w:p>
    <w:p w14:paraId="76F1D2FB" w14:textId="6E991BE2" w:rsidR="00EF1CA2" w:rsidRDefault="00EF1CA2" w:rsidP="00EF1CA2">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B678E1">
        <w:rPr>
          <w:rFonts w:ascii="Arial" w:hAnsi="Arial" w:cs="Arial"/>
          <w:sz w:val="26"/>
          <w:szCs w:val="26"/>
        </w:rPr>
        <w:t xml:space="preserve">Tercera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14:paraId="38B6BC52" w14:textId="633CBF78" w:rsidR="005F62FE" w:rsidRPr="005F62FE" w:rsidRDefault="005F62FE" w:rsidP="005F62FE">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14:paraId="56BA0A3B" w14:textId="3976F311" w:rsidR="000C7820" w:rsidRDefault="000C7820" w:rsidP="00E82EEE">
      <w:pPr>
        <w:tabs>
          <w:tab w:val="left" w:pos="1985"/>
        </w:tabs>
        <w:spacing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226608F1" w14:textId="4E950118" w:rsidR="005F62FE" w:rsidRDefault="005F62FE" w:rsidP="00E82EEE">
      <w:pPr>
        <w:tabs>
          <w:tab w:val="left" w:pos="1985"/>
        </w:tabs>
        <w:spacing w:line="360" w:lineRule="auto"/>
        <w:ind w:firstLine="708"/>
        <w:jc w:val="both"/>
        <w:rPr>
          <w:rFonts w:ascii="Arial" w:eastAsia="Times New Roman" w:hAnsi="Arial" w:cs="Arial"/>
          <w:sz w:val="26"/>
          <w:szCs w:val="26"/>
          <w:lang w:eastAsia="es-MX"/>
        </w:rPr>
      </w:pPr>
    </w:p>
    <w:p w14:paraId="4557E417" w14:textId="323DEFA7" w:rsidR="00714274" w:rsidRDefault="00714274" w:rsidP="00E82EEE">
      <w:pPr>
        <w:tabs>
          <w:tab w:val="left" w:pos="1985"/>
        </w:tabs>
        <w:spacing w:line="360" w:lineRule="auto"/>
        <w:ind w:firstLine="708"/>
        <w:jc w:val="both"/>
        <w:rPr>
          <w:rFonts w:ascii="Arial" w:eastAsia="Times New Roman" w:hAnsi="Arial" w:cs="Arial"/>
          <w:sz w:val="26"/>
          <w:szCs w:val="26"/>
          <w:lang w:eastAsia="es-MX"/>
        </w:rPr>
      </w:pPr>
    </w:p>
    <w:p w14:paraId="0D1FAE1E" w14:textId="23C88E19" w:rsidR="00714274" w:rsidRDefault="00714274" w:rsidP="00E82EEE">
      <w:pPr>
        <w:tabs>
          <w:tab w:val="left" w:pos="1985"/>
        </w:tabs>
        <w:spacing w:line="360" w:lineRule="auto"/>
        <w:ind w:firstLine="708"/>
        <w:jc w:val="both"/>
        <w:rPr>
          <w:rFonts w:ascii="Arial" w:eastAsia="Times New Roman" w:hAnsi="Arial" w:cs="Arial"/>
          <w:sz w:val="26"/>
          <w:szCs w:val="26"/>
          <w:lang w:eastAsia="es-MX"/>
        </w:rPr>
      </w:pPr>
    </w:p>
    <w:p w14:paraId="60002661" w14:textId="77777777" w:rsidR="00714274" w:rsidRDefault="00714274" w:rsidP="00E82EEE">
      <w:pPr>
        <w:tabs>
          <w:tab w:val="left" w:pos="1985"/>
        </w:tabs>
        <w:spacing w:line="360" w:lineRule="auto"/>
        <w:ind w:firstLine="708"/>
        <w:jc w:val="both"/>
        <w:rPr>
          <w:rFonts w:ascii="Arial" w:eastAsia="Times New Roman" w:hAnsi="Arial" w:cs="Arial"/>
          <w:sz w:val="26"/>
          <w:szCs w:val="26"/>
          <w:lang w:eastAsia="es-MX"/>
        </w:rPr>
      </w:pPr>
    </w:p>
    <w:p w14:paraId="4B0DCE8C" w14:textId="77777777" w:rsidR="00714274" w:rsidRPr="00E82EEE" w:rsidRDefault="00714274" w:rsidP="00E82EEE">
      <w:pPr>
        <w:tabs>
          <w:tab w:val="left" w:pos="1985"/>
        </w:tabs>
        <w:spacing w:line="360" w:lineRule="auto"/>
        <w:ind w:firstLine="708"/>
        <w:jc w:val="both"/>
        <w:rPr>
          <w:rFonts w:ascii="Arial" w:eastAsia="Times New Roman" w:hAnsi="Arial" w:cs="Arial"/>
          <w:sz w:val="26"/>
          <w:szCs w:val="26"/>
          <w:lang w:eastAsia="es-MX"/>
        </w:rPr>
      </w:pPr>
    </w:p>
    <w:p w14:paraId="3A2752E6" w14:textId="77777777" w:rsidR="000C7820" w:rsidRDefault="000C7820" w:rsidP="000C7820">
      <w:pPr>
        <w:jc w:val="center"/>
        <w:rPr>
          <w:rFonts w:ascii="Arial" w:hAnsi="Arial" w:cs="Arial"/>
          <w:sz w:val="26"/>
          <w:szCs w:val="26"/>
        </w:rPr>
      </w:pPr>
      <w:r>
        <w:rPr>
          <w:rFonts w:ascii="Arial" w:hAnsi="Arial" w:cs="Arial"/>
          <w:sz w:val="26"/>
          <w:szCs w:val="26"/>
        </w:rPr>
        <w:t>MAGISTRADO ADRIÁN QUIROGA AVENDAÑO.</w:t>
      </w:r>
    </w:p>
    <w:p w14:paraId="11A416C0" w14:textId="77777777" w:rsidR="000C7820" w:rsidRDefault="000C7820" w:rsidP="000C7820">
      <w:pPr>
        <w:jc w:val="center"/>
        <w:rPr>
          <w:rFonts w:ascii="Arial" w:hAnsi="Arial" w:cs="Arial"/>
          <w:sz w:val="26"/>
          <w:szCs w:val="26"/>
        </w:rPr>
      </w:pPr>
      <w:r>
        <w:rPr>
          <w:rFonts w:ascii="Arial" w:hAnsi="Arial" w:cs="Arial"/>
          <w:sz w:val="26"/>
          <w:szCs w:val="26"/>
        </w:rPr>
        <w:t>PRESIDENTE</w:t>
      </w:r>
    </w:p>
    <w:p w14:paraId="678C4000" w14:textId="1467B1DE" w:rsidR="000C7820" w:rsidRDefault="000C7820" w:rsidP="000C7820">
      <w:pPr>
        <w:spacing w:line="360" w:lineRule="auto"/>
        <w:rPr>
          <w:rFonts w:ascii="Arial" w:hAnsi="Arial" w:cs="Arial"/>
          <w:sz w:val="26"/>
          <w:szCs w:val="26"/>
        </w:rPr>
      </w:pPr>
    </w:p>
    <w:p w14:paraId="691F4E7D" w14:textId="676DBEB8" w:rsidR="00714274" w:rsidRDefault="00714274" w:rsidP="000C7820">
      <w:pPr>
        <w:spacing w:line="360" w:lineRule="auto"/>
        <w:rPr>
          <w:rFonts w:ascii="Arial" w:hAnsi="Arial" w:cs="Arial"/>
          <w:sz w:val="26"/>
          <w:szCs w:val="26"/>
        </w:rPr>
      </w:pPr>
    </w:p>
    <w:p w14:paraId="783A86B0" w14:textId="3CC79C22" w:rsidR="00714274" w:rsidRDefault="00714274" w:rsidP="000C7820">
      <w:pPr>
        <w:spacing w:line="360" w:lineRule="auto"/>
        <w:rPr>
          <w:rFonts w:ascii="Arial" w:hAnsi="Arial" w:cs="Arial"/>
          <w:sz w:val="26"/>
          <w:szCs w:val="26"/>
        </w:rPr>
      </w:pPr>
    </w:p>
    <w:p w14:paraId="50BD9AE5" w14:textId="77777777" w:rsidR="00714274" w:rsidRDefault="00714274" w:rsidP="000C7820">
      <w:pPr>
        <w:spacing w:line="360" w:lineRule="auto"/>
        <w:rPr>
          <w:rFonts w:ascii="Arial" w:hAnsi="Arial" w:cs="Arial"/>
          <w:sz w:val="26"/>
          <w:szCs w:val="26"/>
        </w:rPr>
      </w:pPr>
    </w:p>
    <w:p w14:paraId="78A8D09D" w14:textId="77777777" w:rsidR="00714274" w:rsidRDefault="00714274" w:rsidP="000C7820">
      <w:pPr>
        <w:spacing w:line="360" w:lineRule="auto"/>
        <w:rPr>
          <w:rFonts w:ascii="Arial" w:hAnsi="Arial" w:cs="Arial"/>
          <w:sz w:val="26"/>
          <w:szCs w:val="26"/>
        </w:rPr>
      </w:pPr>
    </w:p>
    <w:p w14:paraId="37CAB1FC" w14:textId="2357A7EC" w:rsidR="000C7820" w:rsidRDefault="000C7820" w:rsidP="00E82EEE">
      <w:pPr>
        <w:spacing w:line="360" w:lineRule="auto"/>
        <w:jc w:val="center"/>
        <w:rPr>
          <w:rFonts w:ascii="Arial" w:hAnsi="Arial" w:cs="Arial"/>
          <w:sz w:val="26"/>
          <w:szCs w:val="26"/>
        </w:rPr>
      </w:pPr>
      <w:r>
        <w:rPr>
          <w:rFonts w:ascii="Arial" w:hAnsi="Arial" w:cs="Arial"/>
          <w:sz w:val="26"/>
          <w:szCs w:val="26"/>
        </w:rPr>
        <w:t>MAGISTRADO HUGO VILLEGAS AQUINO.</w:t>
      </w:r>
    </w:p>
    <w:p w14:paraId="014ED5BF" w14:textId="3335F9D1" w:rsidR="00E82EEE" w:rsidRDefault="00E82EEE" w:rsidP="00E82EEE">
      <w:pPr>
        <w:spacing w:line="360" w:lineRule="auto"/>
        <w:jc w:val="center"/>
        <w:rPr>
          <w:rFonts w:ascii="Arial" w:hAnsi="Arial" w:cs="Arial"/>
          <w:sz w:val="26"/>
          <w:szCs w:val="26"/>
        </w:rPr>
      </w:pPr>
    </w:p>
    <w:p w14:paraId="38BD9B72" w14:textId="7E162F2E" w:rsidR="00714274" w:rsidRDefault="00714274" w:rsidP="00E82EEE">
      <w:pPr>
        <w:spacing w:line="360" w:lineRule="auto"/>
        <w:jc w:val="center"/>
        <w:rPr>
          <w:rFonts w:ascii="Arial" w:hAnsi="Arial" w:cs="Arial"/>
          <w:sz w:val="26"/>
          <w:szCs w:val="26"/>
        </w:rPr>
      </w:pPr>
    </w:p>
    <w:p w14:paraId="341CFB96" w14:textId="6BE63D1B" w:rsidR="00714274" w:rsidRDefault="00714274" w:rsidP="00E82EEE">
      <w:pPr>
        <w:spacing w:line="360" w:lineRule="auto"/>
        <w:jc w:val="center"/>
        <w:rPr>
          <w:rFonts w:ascii="Arial" w:hAnsi="Arial" w:cs="Arial"/>
          <w:sz w:val="26"/>
          <w:szCs w:val="26"/>
        </w:rPr>
      </w:pPr>
    </w:p>
    <w:p w14:paraId="7AC313D0" w14:textId="5DD4B2B4" w:rsidR="00714274" w:rsidRDefault="00714274" w:rsidP="00E82EEE">
      <w:pPr>
        <w:spacing w:line="360" w:lineRule="auto"/>
        <w:jc w:val="center"/>
        <w:rPr>
          <w:rFonts w:ascii="Arial" w:hAnsi="Arial" w:cs="Arial"/>
          <w:sz w:val="26"/>
          <w:szCs w:val="26"/>
        </w:rPr>
      </w:pPr>
    </w:p>
    <w:p w14:paraId="43D88493" w14:textId="77777777" w:rsidR="00714274" w:rsidRDefault="00714274" w:rsidP="00E82EEE">
      <w:pPr>
        <w:spacing w:line="360" w:lineRule="auto"/>
        <w:jc w:val="center"/>
        <w:rPr>
          <w:rFonts w:ascii="Arial" w:hAnsi="Arial" w:cs="Arial"/>
          <w:sz w:val="26"/>
          <w:szCs w:val="26"/>
        </w:rPr>
      </w:pPr>
    </w:p>
    <w:p w14:paraId="06FC5161" w14:textId="2FAF3873" w:rsidR="000C7820" w:rsidRDefault="000C7820" w:rsidP="00E82EEE">
      <w:pPr>
        <w:spacing w:line="360" w:lineRule="auto"/>
        <w:jc w:val="center"/>
        <w:rPr>
          <w:rFonts w:ascii="Arial" w:hAnsi="Arial" w:cs="Arial"/>
          <w:sz w:val="26"/>
          <w:szCs w:val="26"/>
        </w:rPr>
      </w:pPr>
      <w:r>
        <w:rPr>
          <w:rFonts w:ascii="Arial" w:hAnsi="Arial" w:cs="Arial"/>
          <w:sz w:val="26"/>
          <w:szCs w:val="26"/>
        </w:rPr>
        <w:t>MAGISTRADO ENRIQUE PACHECO MARTÍNEZ.</w:t>
      </w:r>
    </w:p>
    <w:p w14:paraId="486AB5F6" w14:textId="2E5E1E5F" w:rsidR="00E82EEE" w:rsidRDefault="00E82EEE" w:rsidP="00E82EEE">
      <w:pPr>
        <w:spacing w:line="360" w:lineRule="auto"/>
        <w:jc w:val="center"/>
        <w:rPr>
          <w:rFonts w:ascii="Arial" w:hAnsi="Arial" w:cs="Arial"/>
          <w:sz w:val="26"/>
          <w:szCs w:val="26"/>
        </w:rPr>
      </w:pPr>
    </w:p>
    <w:p w14:paraId="6BBFE57F" w14:textId="00410C8C" w:rsidR="00714274" w:rsidRDefault="00714274" w:rsidP="00E82EEE">
      <w:pPr>
        <w:spacing w:line="360" w:lineRule="auto"/>
        <w:jc w:val="center"/>
        <w:rPr>
          <w:rFonts w:ascii="Arial" w:hAnsi="Arial" w:cs="Arial"/>
          <w:sz w:val="26"/>
          <w:szCs w:val="26"/>
        </w:rPr>
      </w:pPr>
    </w:p>
    <w:p w14:paraId="5A8B14AD" w14:textId="6A955B82" w:rsidR="00714274" w:rsidRDefault="00714274" w:rsidP="00E82EEE">
      <w:pPr>
        <w:spacing w:line="360" w:lineRule="auto"/>
        <w:jc w:val="center"/>
        <w:rPr>
          <w:rFonts w:ascii="Arial" w:hAnsi="Arial" w:cs="Arial"/>
          <w:sz w:val="26"/>
          <w:szCs w:val="26"/>
        </w:rPr>
      </w:pPr>
    </w:p>
    <w:p w14:paraId="7EE47E23" w14:textId="38A36A26" w:rsidR="00714274" w:rsidRDefault="00714274" w:rsidP="00E82EEE">
      <w:pPr>
        <w:spacing w:line="360" w:lineRule="auto"/>
        <w:jc w:val="center"/>
        <w:rPr>
          <w:rFonts w:ascii="Arial" w:hAnsi="Arial" w:cs="Arial"/>
          <w:sz w:val="26"/>
          <w:szCs w:val="26"/>
        </w:rPr>
      </w:pPr>
    </w:p>
    <w:p w14:paraId="702C0E17" w14:textId="0DBC80C2" w:rsidR="00714274" w:rsidRPr="00714274" w:rsidRDefault="00714274" w:rsidP="00E82EEE">
      <w:pPr>
        <w:spacing w:line="360" w:lineRule="auto"/>
        <w:jc w:val="center"/>
        <w:rPr>
          <w:rFonts w:ascii="Arial" w:hAnsi="Arial" w:cs="Arial"/>
          <w:b/>
          <w:sz w:val="16"/>
          <w:szCs w:val="26"/>
        </w:rPr>
      </w:pPr>
      <w:r w:rsidRPr="00714274">
        <w:rPr>
          <w:rFonts w:ascii="Arial" w:hAnsi="Arial" w:cs="Arial"/>
          <w:b/>
          <w:sz w:val="16"/>
          <w:szCs w:val="26"/>
        </w:rPr>
        <w:t>LAS PRESENTES FIRMAS CORRESPONDEN AL RECURSO DE REVISIÓN 174/2018</w:t>
      </w:r>
    </w:p>
    <w:p w14:paraId="5C61B44D" w14:textId="02DF2A29" w:rsidR="00714274" w:rsidRDefault="00714274" w:rsidP="00E82EEE">
      <w:pPr>
        <w:spacing w:line="360" w:lineRule="auto"/>
        <w:jc w:val="center"/>
        <w:rPr>
          <w:rFonts w:ascii="Arial" w:hAnsi="Arial" w:cs="Arial"/>
          <w:sz w:val="26"/>
          <w:szCs w:val="26"/>
        </w:rPr>
      </w:pPr>
    </w:p>
    <w:p w14:paraId="4661108E" w14:textId="6DD85A2D" w:rsidR="00714274" w:rsidRDefault="00714274" w:rsidP="00E82EEE">
      <w:pPr>
        <w:spacing w:line="360" w:lineRule="auto"/>
        <w:jc w:val="center"/>
        <w:rPr>
          <w:rFonts w:ascii="Arial" w:hAnsi="Arial" w:cs="Arial"/>
          <w:sz w:val="26"/>
          <w:szCs w:val="26"/>
        </w:rPr>
      </w:pPr>
    </w:p>
    <w:p w14:paraId="20085115" w14:textId="44F2F7F6" w:rsidR="00714274" w:rsidRDefault="00714274" w:rsidP="00E82EEE">
      <w:pPr>
        <w:spacing w:line="360" w:lineRule="auto"/>
        <w:jc w:val="center"/>
        <w:rPr>
          <w:rFonts w:ascii="Arial" w:hAnsi="Arial" w:cs="Arial"/>
          <w:sz w:val="26"/>
          <w:szCs w:val="26"/>
        </w:rPr>
      </w:pPr>
    </w:p>
    <w:p w14:paraId="381F8397" w14:textId="77777777" w:rsidR="00714274" w:rsidRDefault="00714274" w:rsidP="00E82EEE">
      <w:pPr>
        <w:spacing w:line="360" w:lineRule="auto"/>
        <w:jc w:val="center"/>
        <w:rPr>
          <w:rFonts w:ascii="Arial" w:hAnsi="Arial" w:cs="Arial"/>
          <w:sz w:val="26"/>
          <w:szCs w:val="26"/>
        </w:rPr>
      </w:pPr>
    </w:p>
    <w:p w14:paraId="6D271F1C" w14:textId="77777777" w:rsidR="00714274" w:rsidRDefault="00714274" w:rsidP="00E82EEE">
      <w:pPr>
        <w:spacing w:line="360" w:lineRule="auto"/>
        <w:jc w:val="center"/>
        <w:rPr>
          <w:rFonts w:ascii="Arial" w:hAnsi="Arial" w:cs="Arial"/>
          <w:sz w:val="26"/>
          <w:szCs w:val="26"/>
        </w:rPr>
      </w:pPr>
    </w:p>
    <w:p w14:paraId="28A18A12" w14:textId="70156EF6" w:rsidR="000C7820" w:rsidRPr="00E82EEE" w:rsidRDefault="000C7820" w:rsidP="00E82EEE">
      <w:pPr>
        <w:spacing w:line="360" w:lineRule="auto"/>
        <w:jc w:val="center"/>
        <w:rPr>
          <w:rFonts w:ascii="Arial" w:hAnsi="Arial" w:cs="Arial"/>
          <w:sz w:val="26"/>
          <w:szCs w:val="26"/>
        </w:rPr>
      </w:pPr>
      <w:r>
        <w:rPr>
          <w:rFonts w:ascii="Arial" w:hAnsi="Arial" w:cs="Arial"/>
          <w:sz w:val="26"/>
          <w:szCs w:val="26"/>
        </w:rPr>
        <w:t>MAGISTRADA MARÍA ELENA VILLA DE JARQUÍN</w:t>
      </w:r>
    </w:p>
    <w:p w14:paraId="583A91C1" w14:textId="33AF70C2" w:rsidR="000C7820" w:rsidRDefault="000C7820" w:rsidP="000C7820">
      <w:pPr>
        <w:jc w:val="center"/>
        <w:rPr>
          <w:rFonts w:ascii="Arial" w:eastAsia="Times New Roman" w:hAnsi="Arial" w:cs="Arial"/>
          <w:sz w:val="26"/>
          <w:szCs w:val="26"/>
          <w:lang w:eastAsia="es-MX"/>
        </w:rPr>
      </w:pPr>
    </w:p>
    <w:p w14:paraId="6C859139" w14:textId="1192F2EB" w:rsidR="00714274" w:rsidRDefault="00714274" w:rsidP="000C7820">
      <w:pPr>
        <w:jc w:val="center"/>
        <w:rPr>
          <w:rFonts w:ascii="Arial" w:eastAsia="Times New Roman" w:hAnsi="Arial" w:cs="Arial"/>
          <w:sz w:val="26"/>
          <w:szCs w:val="26"/>
          <w:lang w:eastAsia="es-MX"/>
        </w:rPr>
      </w:pPr>
    </w:p>
    <w:p w14:paraId="4D7DD4FF" w14:textId="495F8C52" w:rsidR="00714274" w:rsidRDefault="00714274" w:rsidP="000C7820">
      <w:pPr>
        <w:jc w:val="center"/>
        <w:rPr>
          <w:rFonts w:ascii="Arial" w:eastAsia="Times New Roman" w:hAnsi="Arial" w:cs="Arial"/>
          <w:sz w:val="26"/>
          <w:szCs w:val="26"/>
          <w:lang w:eastAsia="es-MX"/>
        </w:rPr>
      </w:pPr>
    </w:p>
    <w:p w14:paraId="7196F18A" w14:textId="5783DB5D" w:rsidR="00714274" w:rsidRDefault="00714274" w:rsidP="000C7820">
      <w:pPr>
        <w:jc w:val="center"/>
        <w:rPr>
          <w:rFonts w:ascii="Arial" w:eastAsia="Times New Roman" w:hAnsi="Arial" w:cs="Arial"/>
          <w:sz w:val="26"/>
          <w:szCs w:val="26"/>
          <w:lang w:eastAsia="es-MX"/>
        </w:rPr>
      </w:pPr>
    </w:p>
    <w:p w14:paraId="7883728C" w14:textId="077D64D7" w:rsidR="00714274" w:rsidRDefault="00714274" w:rsidP="000C7820">
      <w:pPr>
        <w:jc w:val="center"/>
        <w:rPr>
          <w:rFonts w:ascii="Arial" w:eastAsia="Times New Roman" w:hAnsi="Arial" w:cs="Arial"/>
          <w:sz w:val="26"/>
          <w:szCs w:val="26"/>
          <w:lang w:eastAsia="es-MX"/>
        </w:rPr>
      </w:pPr>
    </w:p>
    <w:p w14:paraId="70923D55" w14:textId="77777777" w:rsidR="00714274" w:rsidRPr="00F34C78" w:rsidRDefault="00714274" w:rsidP="000C7820">
      <w:pPr>
        <w:jc w:val="center"/>
        <w:rPr>
          <w:rFonts w:ascii="Arial" w:eastAsia="Times New Roman" w:hAnsi="Arial" w:cs="Arial"/>
          <w:sz w:val="26"/>
          <w:szCs w:val="26"/>
          <w:lang w:eastAsia="es-MX"/>
        </w:rPr>
      </w:pPr>
    </w:p>
    <w:p w14:paraId="59F68250" w14:textId="77777777" w:rsidR="000C7820" w:rsidRPr="00F34C78" w:rsidRDefault="000C7820" w:rsidP="000C7820">
      <w:pPr>
        <w:jc w:val="center"/>
        <w:rPr>
          <w:rFonts w:ascii="Arial" w:eastAsia="Calibri" w:hAnsi="Arial" w:cs="Arial"/>
          <w:sz w:val="26"/>
          <w:szCs w:val="26"/>
        </w:rPr>
      </w:pPr>
      <w:r w:rsidRPr="00F34C78">
        <w:rPr>
          <w:rFonts w:ascii="Arial" w:eastAsia="Times New Roman" w:hAnsi="Arial" w:cs="Arial"/>
          <w:sz w:val="26"/>
          <w:szCs w:val="26"/>
          <w:lang w:eastAsia="es-MX"/>
        </w:rPr>
        <w:t>MAGISTRADO MANUEL VELASCO ALCÁNTARA</w:t>
      </w:r>
    </w:p>
    <w:p w14:paraId="60F211CD" w14:textId="77777777" w:rsidR="000C7820" w:rsidRDefault="000C7820" w:rsidP="000C7820">
      <w:pPr>
        <w:rPr>
          <w:rFonts w:ascii="Arial" w:hAnsi="Arial" w:cs="Arial"/>
          <w:sz w:val="26"/>
          <w:szCs w:val="26"/>
        </w:rPr>
      </w:pPr>
    </w:p>
    <w:p w14:paraId="4214CA8C" w14:textId="2FDDD9B3" w:rsidR="000C7820" w:rsidRDefault="000C7820" w:rsidP="000C7820">
      <w:pPr>
        <w:rPr>
          <w:rFonts w:ascii="Arial" w:hAnsi="Arial" w:cs="Arial"/>
          <w:sz w:val="26"/>
          <w:szCs w:val="26"/>
        </w:rPr>
      </w:pPr>
    </w:p>
    <w:p w14:paraId="6CF56B16" w14:textId="4BCEB709" w:rsidR="00714274" w:rsidRDefault="00714274" w:rsidP="000C7820">
      <w:pPr>
        <w:rPr>
          <w:rFonts w:ascii="Arial" w:hAnsi="Arial" w:cs="Arial"/>
          <w:sz w:val="26"/>
          <w:szCs w:val="26"/>
        </w:rPr>
      </w:pPr>
    </w:p>
    <w:p w14:paraId="5450BA8C" w14:textId="785683CE" w:rsidR="00714274" w:rsidRDefault="00714274" w:rsidP="000C7820">
      <w:pPr>
        <w:rPr>
          <w:rFonts w:ascii="Arial" w:hAnsi="Arial" w:cs="Arial"/>
          <w:sz w:val="26"/>
          <w:szCs w:val="26"/>
        </w:rPr>
      </w:pPr>
    </w:p>
    <w:p w14:paraId="2A0B5ED0" w14:textId="4EB9A4D4" w:rsidR="00714274" w:rsidRDefault="00714274" w:rsidP="000C7820">
      <w:pPr>
        <w:rPr>
          <w:rFonts w:ascii="Arial" w:hAnsi="Arial" w:cs="Arial"/>
          <w:sz w:val="26"/>
          <w:szCs w:val="26"/>
        </w:rPr>
      </w:pPr>
    </w:p>
    <w:p w14:paraId="42F536AD" w14:textId="0B674C39" w:rsidR="00714274" w:rsidRDefault="00714274" w:rsidP="000C7820">
      <w:pPr>
        <w:rPr>
          <w:rFonts w:ascii="Arial" w:hAnsi="Arial" w:cs="Arial"/>
          <w:sz w:val="26"/>
          <w:szCs w:val="26"/>
        </w:rPr>
      </w:pPr>
    </w:p>
    <w:p w14:paraId="14E3D850" w14:textId="77777777" w:rsidR="00714274" w:rsidRDefault="00714274" w:rsidP="000C7820">
      <w:pPr>
        <w:rPr>
          <w:rFonts w:ascii="Arial" w:hAnsi="Arial" w:cs="Arial"/>
          <w:sz w:val="26"/>
          <w:szCs w:val="26"/>
        </w:rPr>
      </w:pPr>
    </w:p>
    <w:p w14:paraId="32AB24B7" w14:textId="1F4F13BA" w:rsidR="000C7820" w:rsidRDefault="000C7820" w:rsidP="000C7820">
      <w:pPr>
        <w:jc w:val="center"/>
        <w:rPr>
          <w:rFonts w:ascii="Arial" w:hAnsi="Arial" w:cs="Arial"/>
          <w:sz w:val="26"/>
          <w:szCs w:val="26"/>
        </w:rPr>
      </w:pPr>
      <w:r>
        <w:rPr>
          <w:rFonts w:ascii="Arial" w:hAnsi="Arial" w:cs="Arial"/>
          <w:sz w:val="26"/>
          <w:szCs w:val="26"/>
        </w:rPr>
        <w:t xml:space="preserve">LICENCIADA </w:t>
      </w:r>
      <w:r w:rsidR="00D36689">
        <w:rPr>
          <w:rFonts w:ascii="Arial" w:hAnsi="Arial" w:cs="Arial"/>
          <w:sz w:val="26"/>
          <w:szCs w:val="26"/>
        </w:rPr>
        <w:t>LETICIA GARCIA SOTO</w:t>
      </w:r>
      <w:r>
        <w:rPr>
          <w:rFonts w:ascii="Arial" w:hAnsi="Arial" w:cs="Arial"/>
          <w:sz w:val="26"/>
          <w:szCs w:val="26"/>
        </w:rPr>
        <w:t>.</w:t>
      </w:r>
    </w:p>
    <w:p w14:paraId="3F177ED5" w14:textId="30A87D36" w:rsidR="00691BFA" w:rsidRPr="00D36689" w:rsidRDefault="00D36689" w:rsidP="00D36689">
      <w:pPr>
        <w:jc w:val="center"/>
        <w:rPr>
          <w:rFonts w:ascii="Arial" w:hAnsi="Arial" w:cs="Arial"/>
          <w:sz w:val="26"/>
          <w:szCs w:val="26"/>
        </w:rPr>
      </w:pPr>
      <w:r>
        <w:rPr>
          <w:rFonts w:ascii="Arial" w:hAnsi="Arial" w:cs="Arial"/>
          <w:sz w:val="26"/>
          <w:szCs w:val="26"/>
        </w:rPr>
        <w:t>SECRETARIA GENERAL DE ACUERDOS</w:t>
      </w:r>
    </w:p>
    <w:sectPr w:rsidR="00691BFA" w:rsidRPr="00D36689" w:rsidSect="00E10CAA">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1B3BF" w14:textId="77777777" w:rsidR="00EE0371" w:rsidRDefault="00EE0371">
      <w:r>
        <w:separator/>
      </w:r>
    </w:p>
  </w:endnote>
  <w:endnote w:type="continuationSeparator" w:id="0">
    <w:p w14:paraId="5E33A02C" w14:textId="77777777" w:rsidR="00EE0371" w:rsidRDefault="00EE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2644" w14:textId="77777777" w:rsidR="009443AC" w:rsidRDefault="009443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47B8" w14:textId="6BAA38F4" w:rsidR="009443AC" w:rsidRDefault="009443AC">
    <w:pPr>
      <w:pStyle w:val="Piedepgina"/>
    </w:pPr>
    <w:r>
      <w:rPr>
        <w:noProof/>
        <w:lang w:eastAsia="es-MX"/>
      </w:rPr>
      <w:drawing>
        <wp:anchor distT="0" distB="0" distL="114300" distR="114300" simplePos="0" relativeHeight="251670528" behindDoc="0" locked="0" layoutInCell="1" allowOverlap="1" wp14:anchorId="31B1E1F2" wp14:editId="424641DF">
          <wp:simplePos x="0" y="0"/>
          <wp:positionH relativeFrom="column">
            <wp:posOffset>-1410208</wp:posOffset>
          </wp:positionH>
          <wp:positionV relativeFrom="paragraph">
            <wp:posOffset>-4512056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894C" w14:textId="77777777" w:rsidR="009443AC" w:rsidRDefault="009443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4250" w14:textId="77777777" w:rsidR="00EE0371" w:rsidRDefault="00EE0371">
      <w:r>
        <w:separator/>
      </w:r>
    </w:p>
  </w:footnote>
  <w:footnote w:type="continuationSeparator" w:id="0">
    <w:p w14:paraId="4E521F9B" w14:textId="77777777" w:rsidR="00EE0371" w:rsidRDefault="00EE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70CB7036" w:rsidR="00E42971" w:rsidRDefault="00E42971">
        <w:pPr>
          <w:pStyle w:val="Encabezado"/>
          <w:jc w:val="center"/>
        </w:pPr>
        <w:r>
          <w:fldChar w:fldCharType="begin"/>
        </w:r>
        <w:r>
          <w:instrText>PAGE   \* MERGEFORMAT</w:instrText>
        </w:r>
        <w:r>
          <w:fldChar w:fldCharType="separate"/>
        </w:r>
        <w:r w:rsidR="009443AC">
          <w:rPr>
            <w:noProof/>
          </w:rPr>
          <w:t>14</w:t>
        </w:r>
        <w:r>
          <w:fldChar w:fldCharType="end"/>
        </w:r>
      </w:p>
    </w:sdtContent>
  </w:sdt>
  <w:p w14:paraId="61FAD150" w14:textId="479CC68C" w:rsidR="00E42971" w:rsidRDefault="009443AC">
    <w:pPr>
      <w:pStyle w:val="Encabezado"/>
    </w:pPr>
    <w:bookmarkStart w:id="0" w:name="_GoBack"/>
    <w:r>
      <w:rPr>
        <w:noProof/>
        <w:lang w:eastAsia="es-MX"/>
      </w:rPr>
      <w:drawing>
        <wp:anchor distT="0" distB="0" distL="114300" distR="114300" simplePos="0" relativeHeight="251677696" behindDoc="0" locked="0" layoutInCell="1" allowOverlap="1" wp14:anchorId="1C59E992" wp14:editId="0E527EFD">
          <wp:simplePos x="0" y="0"/>
          <wp:positionH relativeFrom="column">
            <wp:posOffset>5253736</wp:posOffset>
          </wp:positionH>
          <wp:positionV relativeFrom="paragraph">
            <wp:posOffset>4702175</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34963E2A" w:rsidR="00E42971" w:rsidRDefault="00E42971" w:rsidP="00D2291D">
        <w:pPr>
          <w:pStyle w:val="Encabezado"/>
          <w:jc w:val="center"/>
          <w:rPr>
            <w:noProof/>
          </w:rPr>
        </w:pPr>
        <w:r>
          <w:fldChar w:fldCharType="begin"/>
        </w:r>
        <w:r>
          <w:instrText xml:space="preserve"> PAGE   \* MERGEFORMAT </w:instrText>
        </w:r>
        <w:r>
          <w:fldChar w:fldCharType="separate"/>
        </w:r>
        <w:r w:rsidR="009443AC">
          <w:rPr>
            <w:noProof/>
          </w:rPr>
          <w:t>1</w:t>
        </w:r>
        <w:r>
          <w:rPr>
            <w:noProof/>
          </w:rPr>
          <w:fldChar w:fldCharType="end"/>
        </w:r>
      </w:p>
      <w:p w14:paraId="015197EB" w14:textId="251C747F" w:rsidR="00E42971" w:rsidRDefault="009443AC" w:rsidP="00D2291D">
        <w:pPr>
          <w:pStyle w:val="Encabezado"/>
          <w:jc w:val="center"/>
        </w:pPr>
      </w:p>
    </w:sdtContent>
  </w:sdt>
  <w:p w14:paraId="323DD476" w14:textId="6FD6EB53" w:rsidR="00E42971" w:rsidRDefault="00436D1D" w:rsidP="00D2291D">
    <w:pPr>
      <w:pStyle w:val="Encabezado"/>
      <w:tabs>
        <w:tab w:val="left" w:pos="142"/>
      </w:tabs>
      <w:ind w:left="284"/>
    </w:pPr>
    <w:r w:rsidRPr="003E6AD7">
      <w:rPr>
        <w:noProof/>
        <w:lang w:val="es-MX" w:eastAsia="es-MX"/>
      </w:rPr>
      <w:drawing>
        <wp:anchor distT="0" distB="0" distL="114300" distR="114300" simplePos="0" relativeHeight="251665408" behindDoc="0" locked="0" layoutInCell="1" allowOverlap="1" wp14:anchorId="6C75BE9E" wp14:editId="7FFFF188">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1072"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F3AF" w14:textId="77777777" w:rsidR="009443AC" w:rsidRDefault="009443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21F5583"/>
    <w:multiLevelType w:val="hybridMultilevel"/>
    <w:tmpl w:val="97F06B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3">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15"/>
  </w:num>
  <w:num w:numId="4">
    <w:abstractNumId w:val="12"/>
  </w:num>
  <w:num w:numId="5">
    <w:abstractNumId w:val="4"/>
  </w:num>
  <w:num w:numId="6">
    <w:abstractNumId w:val="16"/>
  </w:num>
  <w:num w:numId="7">
    <w:abstractNumId w:val="0"/>
  </w:num>
  <w:num w:numId="8">
    <w:abstractNumId w:val="13"/>
  </w:num>
  <w:num w:numId="9">
    <w:abstractNumId w:val="9"/>
  </w:num>
  <w:num w:numId="10">
    <w:abstractNumId w:val="7"/>
  </w:num>
  <w:num w:numId="11">
    <w:abstractNumId w:val="8"/>
  </w:num>
  <w:num w:numId="12">
    <w:abstractNumId w:val="10"/>
  </w:num>
  <w:num w:numId="13">
    <w:abstractNumId w:val="5"/>
  </w:num>
  <w:num w:numId="14">
    <w:abstractNumId w:val="14"/>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63AEE"/>
    <w:rsid w:val="0006676C"/>
    <w:rsid w:val="0007032E"/>
    <w:rsid w:val="0007468A"/>
    <w:rsid w:val="00085964"/>
    <w:rsid w:val="00092B64"/>
    <w:rsid w:val="00097E70"/>
    <w:rsid w:val="000A0212"/>
    <w:rsid w:val="000A3C35"/>
    <w:rsid w:val="000B0E36"/>
    <w:rsid w:val="000B3E39"/>
    <w:rsid w:val="000C16C8"/>
    <w:rsid w:val="000C7820"/>
    <w:rsid w:val="000D46B4"/>
    <w:rsid w:val="000D6E3D"/>
    <w:rsid w:val="000E3723"/>
    <w:rsid w:val="000E4F90"/>
    <w:rsid w:val="000F3866"/>
    <w:rsid w:val="0010116F"/>
    <w:rsid w:val="0012652F"/>
    <w:rsid w:val="00126ADB"/>
    <w:rsid w:val="00132D70"/>
    <w:rsid w:val="00134084"/>
    <w:rsid w:val="001346F2"/>
    <w:rsid w:val="001449D9"/>
    <w:rsid w:val="00147F10"/>
    <w:rsid w:val="001548AE"/>
    <w:rsid w:val="00157DF0"/>
    <w:rsid w:val="00163736"/>
    <w:rsid w:val="00164900"/>
    <w:rsid w:val="00166448"/>
    <w:rsid w:val="00170A69"/>
    <w:rsid w:val="001830A2"/>
    <w:rsid w:val="00185992"/>
    <w:rsid w:val="00186E02"/>
    <w:rsid w:val="00194DAA"/>
    <w:rsid w:val="00195BEA"/>
    <w:rsid w:val="001A16C0"/>
    <w:rsid w:val="001A42E5"/>
    <w:rsid w:val="001B49BA"/>
    <w:rsid w:val="001B4BF9"/>
    <w:rsid w:val="001C06C3"/>
    <w:rsid w:val="001C362A"/>
    <w:rsid w:val="001C49AF"/>
    <w:rsid w:val="001C7781"/>
    <w:rsid w:val="001D1CC8"/>
    <w:rsid w:val="001E1D05"/>
    <w:rsid w:val="001E5ED9"/>
    <w:rsid w:val="001F2610"/>
    <w:rsid w:val="001F306A"/>
    <w:rsid w:val="001F5246"/>
    <w:rsid w:val="001F613A"/>
    <w:rsid w:val="001F73D7"/>
    <w:rsid w:val="002033B0"/>
    <w:rsid w:val="0020432E"/>
    <w:rsid w:val="002226C7"/>
    <w:rsid w:val="00240FFF"/>
    <w:rsid w:val="00243890"/>
    <w:rsid w:val="002451B0"/>
    <w:rsid w:val="002452C9"/>
    <w:rsid w:val="00247748"/>
    <w:rsid w:val="00261F8C"/>
    <w:rsid w:val="00263F98"/>
    <w:rsid w:val="0026442C"/>
    <w:rsid w:val="00270FA6"/>
    <w:rsid w:val="00276C24"/>
    <w:rsid w:val="00276E2E"/>
    <w:rsid w:val="002813BE"/>
    <w:rsid w:val="00282F01"/>
    <w:rsid w:val="002835AF"/>
    <w:rsid w:val="002A0206"/>
    <w:rsid w:val="002A7840"/>
    <w:rsid w:val="002B3B6E"/>
    <w:rsid w:val="002B3BF3"/>
    <w:rsid w:val="002B4000"/>
    <w:rsid w:val="002B6840"/>
    <w:rsid w:val="002C02F3"/>
    <w:rsid w:val="002C0700"/>
    <w:rsid w:val="002C2605"/>
    <w:rsid w:val="002C4178"/>
    <w:rsid w:val="002D1A4A"/>
    <w:rsid w:val="002D4556"/>
    <w:rsid w:val="002E302D"/>
    <w:rsid w:val="002E3804"/>
    <w:rsid w:val="002F0C1F"/>
    <w:rsid w:val="002F1074"/>
    <w:rsid w:val="002F3369"/>
    <w:rsid w:val="002F6D1A"/>
    <w:rsid w:val="003002FE"/>
    <w:rsid w:val="003007EB"/>
    <w:rsid w:val="00300993"/>
    <w:rsid w:val="003139A0"/>
    <w:rsid w:val="00316443"/>
    <w:rsid w:val="0031747B"/>
    <w:rsid w:val="00320CE1"/>
    <w:rsid w:val="00335242"/>
    <w:rsid w:val="0034105E"/>
    <w:rsid w:val="00341DB1"/>
    <w:rsid w:val="00350715"/>
    <w:rsid w:val="00353473"/>
    <w:rsid w:val="00360086"/>
    <w:rsid w:val="0039664F"/>
    <w:rsid w:val="00397AAE"/>
    <w:rsid w:val="003C3698"/>
    <w:rsid w:val="003C4C76"/>
    <w:rsid w:val="003D0FD1"/>
    <w:rsid w:val="003D3158"/>
    <w:rsid w:val="003D7D73"/>
    <w:rsid w:val="003E3369"/>
    <w:rsid w:val="003E6B2B"/>
    <w:rsid w:val="003E709B"/>
    <w:rsid w:val="003F21BE"/>
    <w:rsid w:val="003F4DA0"/>
    <w:rsid w:val="00404275"/>
    <w:rsid w:val="00404654"/>
    <w:rsid w:val="00405AF3"/>
    <w:rsid w:val="00405E65"/>
    <w:rsid w:val="00421F5B"/>
    <w:rsid w:val="00433A5A"/>
    <w:rsid w:val="00436D1D"/>
    <w:rsid w:val="00436E56"/>
    <w:rsid w:val="00437131"/>
    <w:rsid w:val="00442F80"/>
    <w:rsid w:val="004447C8"/>
    <w:rsid w:val="004505CE"/>
    <w:rsid w:val="00452E9D"/>
    <w:rsid w:val="00453503"/>
    <w:rsid w:val="00456609"/>
    <w:rsid w:val="0046514D"/>
    <w:rsid w:val="004717D1"/>
    <w:rsid w:val="00471F7C"/>
    <w:rsid w:val="004816C1"/>
    <w:rsid w:val="00492852"/>
    <w:rsid w:val="004935DA"/>
    <w:rsid w:val="0049627F"/>
    <w:rsid w:val="004A0D4D"/>
    <w:rsid w:val="004A14E0"/>
    <w:rsid w:val="004A5D49"/>
    <w:rsid w:val="004C4BEF"/>
    <w:rsid w:val="004D2667"/>
    <w:rsid w:val="004D5DF9"/>
    <w:rsid w:val="004F2613"/>
    <w:rsid w:val="00500A28"/>
    <w:rsid w:val="00502A34"/>
    <w:rsid w:val="00503C04"/>
    <w:rsid w:val="005046F5"/>
    <w:rsid w:val="005124D7"/>
    <w:rsid w:val="00517757"/>
    <w:rsid w:val="00517C71"/>
    <w:rsid w:val="005342C5"/>
    <w:rsid w:val="00534CB6"/>
    <w:rsid w:val="005401C9"/>
    <w:rsid w:val="0054417F"/>
    <w:rsid w:val="00544BEE"/>
    <w:rsid w:val="00551C17"/>
    <w:rsid w:val="005619F2"/>
    <w:rsid w:val="005623BA"/>
    <w:rsid w:val="005650C9"/>
    <w:rsid w:val="00567A36"/>
    <w:rsid w:val="00581B90"/>
    <w:rsid w:val="00583516"/>
    <w:rsid w:val="0058355E"/>
    <w:rsid w:val="00583F0F"/>
    <w:rsid w:val="005852AB"/>
    <w:rsid w:val="005B3C45"/>
    <w:rsid w:val="005C1E3F"/>
    <w:rsid w:val="005C3333"/>
    <w:rsid w:val="005D1C12"/>
    <w:rsid w:val="005D2834"/>
    <w:rsid w:val="005D33DB"/>
    <w:rsid w:val="005D3F5E"/>
    <w:rsid w:val="005D60F9"/>
    <w:rsid w:val="005D6A93"/>
    <w:rsid w:val="005F434C"/>
    <w:rsid w:val="005F5B5A"/>
    <w:rsid w:val="005F62FE"/>
    <w:rsid w:val="0060140C"/>
    <w:rsid w:val="00603935"/>
    <w:rsid w:val="00614FAE"/>
    <w:rsid w:val="00615AF5"/>
    <w:rsid w:val="00620F0A"/>
    <w:rsid w:val="00622DDE"/>
    <w:rsid w:val="00625196"/>
    <w:rsid w:val="00626EFC"/>
    <w:rsid w:val="00634147"/>
    <w:rsid w:val="00636D8D"/>
    <w:rsid w:val="006373FB"/>
    <w:rsid w:val="0064024F"/>
    <w:rsid w:val="00655CCC"/>
    <w:rsid w:val="00656F1D"/>
    <w:rsid w:val="00657201"/>
    <w:rsid w:val="0066256D"/>
    <w:rsid w:val="00662969"/>
    <w:rsid w:val="006654AC"/>
    <w:rsid w:val="0067144D"/>
    <w:rsid w:val="006779CA"/>
    <w:rsid w:val="00684E14"/>
    <w:rsid w:val="006850D2"/>
    <w:rsid w:val="00685403"/>
    <w:rsid w:val="00691BFA"/>
    <w:rsid w:val="006B670E"/>
    <w:rsid w:val="006B77A0"/>
    <w:rsid w:val="006C2BDB"/>
    <w:rsid w:val="006C530F"/>
    <w:rsid w:val="006C5486"/>
    <w:rsid w:val="006C7FC4"/>
    <w:rsid w:val="006F0298"/>
    <w:rsid w:val="006F271C"/>
    <w:rsid w:val="00704BEF"/>
    <w:rsid w:val="007072C4"/>
    <w:rsid w:val="00707C14"/>
    <w:rsid w:val="00714274"/>
    <w:rsid w:val="0071510F"/>
    <w:rsid w:val="0072015D"/>
    <w:rsid w:val="00720A67"/>
    <w:rsid w:val="0072208F"/>
    <w:rsid w:val="0072648B"/>
    <w:rsid w:val="007317E2"/>
    <w:rsid w:val="00746018"/>
    <w:rsid w:val="007557B3"/>
    <w:rsid w:val="00760D05"/>
    <w:rsid w:val="007747E8"/>
    <w:rsid w:val="00775F1D"/>
    <w:rsid w:val="00782842"/>
    <w:rsid w:val="00797735"/>
    <w:rsid w:val="00797F51"/>
    <w:rsid w:val="007A48EF"/>
    <w:rsid w:val="007B1F9C"/>
    <w:rsid w:val="007C5DEF"/>
    <w:rsid w:val="007D295E"/>
    <w:rsid w:val="007D296F"/>
    <w:rsid w:val="007D7E00"/>
    <w:rsid w:val="007E101F"/>
    <w:rsid w:val="007E33B1"/>
    <w:rsid w:val="007E675E"/>
    <w:rsid w:val="007F2469"/>
    <w:rsid w:val="007F2603"/>
    <w:rsid w:val="007F2E08"/>
    <w:rsid w:val="007F3346"/>
    <w:rsid w:val="007F7264"/>
    <w:rsid w:val="00800765"/>
    <w:rsid w:val="008020DD"/>
    <w:rsid w:val="00804948"/>
    <w:rsid w:val="00806D7E"/>
    <w:rsid w:val="0080735F"/>
    <w:rsid w:val="0081141A"/>
    <w:rsid w:val="008132C5"/>
    <w:rsid w:val="008215C6"/>
    <w:rsid w:val="008218C5"/>
    <w:rsid w:val="008248DE"/>
    <w:rsid w:val="0082574A"/>
    <w:rsid w:val="00825AD0"/>
    <w:rsid w:val="008304D2"/>
    <w:rsid w:val="00840483"/>
    <w:rsid w:val="008445B8"/>
    <w:rsid w:val="00851821"/>
    <w:rsid w:val="00852024"/>
    <w:rsid w:val="00865C90"/>
    <w:rsid w:val="0087542B"/>
    <w:rsid w:val="008854E2"/>
    <w:rsid w:val="008861ED"/>
    <w:rsid w:val="008874EC"/>
    <w:rsid w:val="00894A24"/>
    <w:rsid w:val="008B14E8"/>
    <w:rsid w:val="008B5197"/>
    <w:rsid w:val="008C0DD3"/>
    <w:rsid w:val="008C4258"/>
    <w:rsid w:val="008D0C71"/>
    <w:rsid w:val="008D39ED"/>
    <w:rsid w:val="008D6D00"/>
    <w:rsid w:val="008E1400"/>
    <w:rsid w:val="008E2633"/>
    <w:rsid w:val="008E5BBD"/>
    <w:rsid w:val="008E7491"/>
    <w:rsid w:val="008F2D0A"/>
    <w:rsid w:val="008F4C05"/>
    <w:rsid w:val="008F6DE1"/>
    <w:rsid w:val="0090160E"/>
    <w:rsid w:val="00906D2A"/>
    <w:rsid w:val="00920723"/>
    <w:rsid w:val="009261DC"/>
    <w:rsid w:val="00930102"/>
    <w:rsid w:val="00935483"/>
    <w:rsid w:val="0094076A"/>
    <w:rsid w:val="009443AC"/>
    <w:rsid w:val="00944DC3"/>
    <w:rsid w:val="009474F4"/>
    <w:rsid w:val="00950A2C"/>
    <w:rsid w:val="00950C0F"/>
    <w:rsid w:val="00950C2C"/>
    <w:rsid w:val="009512E4"/>
    <w:rsid w:val="00952CD3"/>
    <w:rsid w:val="009578DB"/>
    <w:rsid w:val="00960AEA"/>
    <w:rsid w:val="009626AC"/>
    <w:rsid w:val="00962BE0"/>
    <w:rsid w:val="00970EDB"/>
    <w:rsid w:val="009715C0"/>
    <w:rsid w:val="00976446"/>
    <w:rsid w:val="0098095C"/>
    <w:rsid w:val="00987E4B"/>
    <w:rsid w:val="00991F13"/>
    <w:rsid w:val="00997F9D"/>
    <w:rsid w:val="009A4275"/>
    <w:rsid w:val="009B0389"/>
    <w:rsid w:val="009C47A0"/>
    <w:rsid w:val="009D310D"/>
    <w:rsid w:val="009D5065"/>
    <w:rsid w:val="009E0382"/>
    <w:rsid w:val="009E43BE"/>
    <w:rsid w:val="009E4460"/>
    <w:rsid w:val="009E4AA5"/>
    <w:rsid w:val="009F0391"/>
    <w:rsid w:val="009F3C8F"/>
    <w:rsid w:val="009F4C00"/>
    <w:rsid w:val="00A0247D"/>
    <w:rsid w:val="00A03A3C"/>
    <w:rsid w:val="00A03DF5"/>
    <w:rsid w:val="00A06591"/>
    <w:rsid w:val="00A0712D"/>
    <w:rsid w:val="00A113B9"/>
    <w:rsid w:val="00A118D3"/>
    <w:rsid w:val="00A149DB"/>
    <w:rsid w:val="00A351BA"/>
    <w:rsid w:val="00A46E42"/>
    <w:rsid w:val="00A508BD"/>
    <w:rsid w:val="00A52EA5"/>
    <w:rsid w:val="00A53BF4"/>
    <w:rsid w:val="00A554F5"/>
    <w:rsid w:val="00A57406"/>
    <w:rsid w:val="00A61271"/>
    <w:rsid w:val="00A64023"/>
    <w:rsid w:val="00A66965"/>
    <w:rsid w:val="00A67B19"/>
    <w:rsid w:val="00A801C2"/>
    <w:rsid w:val="00A86CCB"/>
    <w:rsid w:val="00A878EC"/>
    <w:rsid w:val="00A95AF0"/>
    <w:rsid w:val="00AA2AE7"/>
    <w:rsid w:val="00AA7FEC"/>
    <w:rsid w:val="00AB126D"/>
    <w:rsid w:val="00AB5776"/>
    <w:rsid w:val="00AC4222"/>
    <w:rsid w:val="00AD13B8"/>
    <w:rsid w:val="00AD1C65"/>
    <w:rsid w:val="00AD4F1A"/>
    <w:rsid w:val="00AE3A0D"/>
    <w:rsid w:val="00AE3C26"/>
    <w:rsid w:val="00AE54FE"/>
    <w:rsid w:val="00AE6266"/>
    <w:rsid w:val="00AE6D5F"/>
    <w:rsid w:val="00AF2C6A"/>
    <w:rsid w:val="00AF3388"/>
    <w:rsid w:val="00AF4C18"/>
    <w:rsid w:val="00AF7E31"/>
    <w:rsid w:val="00B03795"/>
    <w:rsid w:val="00B06703"/>
    <w:rsid w:val="00B27EA9"/>
    <w:rsid w:val="00B37EE5"/>
    <w:rsid w:val="00B43003"/>
    <w:rsid w:val="00B43356"/>
    <w:rsid w:val="00B45896"/>
    <w:rsid w:val="00B459B6"/>
    <w:rsid w:val="00B504F0"/>
    <w:rsid w:val="00B52EF2"/>
    <w:rsid w:val="00B5683B"/>
    <w:rsid w:val="00B6280E"/>
    <w:rsid w:val="00B678E1"/>
    <w:rsid w:val="00B739C1"/>
    <w:rsid w:val="00B7510A"/>
    <w:rsid w:val="00B902CA"/>
    <w:rsid w:val="00BA3247"/>
    <w:rsid w:val="00BA48B4"/>
    <w:rsid w:val="00BA554F"/>
    <w:rsid w:val="00BB4092"/>
    <w:rsid w:val="00BC3683"/>
    <w:rsid w:val="00BD5633"/>
    <w:rsid w:val="00BE5D70"/>
    <w:rsid w:val="00BF5234"/>
    <w:rsid w:val="00C00314"/>
    <w:rsid w:val="00C007E6"/>
    <w:rsid w:val="00C03534"/>
    <w:rsid w:val="00C04E1E"/>
    <w:rsid w:val="00C05BF1"/>
    <w:rsid w:val="00C16F73"/>
    <w:rsid w:val="00C26787"/>
    <w:rsid w:val="00C33D4F"/>
    <w:rsid w:val="00C345FA"/>
    <w:rsid w:val="00C368FF"/>
    <w:rsid w:val="00C413FC"/>
    <w:rsid w:val="00C64FB6"/>
    <w:rsid w:val="00C673CD"/>
    <w:rsid w:val="00C67C29"/>
    <w:rsid w:val="00C67F22"/>
    <w:rsid w:val="00C7339B"/>
    <w:rsid w:val="00C76277"/>
    <w:rsid w:val="00C77373"/>
    <w:rsid w:val="00C86510"/>
    <w:rsid w:val="00C910A1"/>
    <w:rsid w:val="00C91BC4"/>
    <w:rsid w:val="00C92C61"/>
    <w:rsid w:val="00C92F4B"/>
    <w:rsid w:val="00C9587A"/>
    <w:rsid w:val="00C95FF7"/>
    <w:rsid w:val="00CA1430"/>
    <w:rsid w:val="00CA206F"/>
    <w:rsid w:val="00CA20EC"/>
    <w:rsid w:val="00CA3620"/>
    <w:rsid w:val="00CA4BD9"/>
    <w:rsid w:val="00CA5FC1"/>
    <w:rsid w:val="00CA64E0"/>
    <w:rsid w:val="00CC192F"/>
    <w:rsid w:val="00CC1E99"/>
    <w:rsid w:val="00CE438C"/>
    <w:rsid w:val="00CE5DE0"/>
    <w:rsid w:val="00CF18A7"/>
    <w:rsid w:val="00CF55A7"/>
    <w:rsid w:val="00D10593"/>
    <w:rsid w:val="00D149B5"/>
    <w:rsid w:val="00D2291D"/>
    <w:rsid w:val="00D23EAC"/>
    <w:rsid w:val="00D36689"/>
    <w:rsid w:val="00D41E6E"/>
    <w:rsid w:val="00D73FCC"/>
    <w:rsid w:val="00D755DB"/>
    <w:rsid w:val="00D80903"/>
    <w:rsid w:val="00D81032"/>
    <w:rsid w:val="00D93191"/>
    <w:rsid w:val="00D96AA9"/>
    <w:rsid w:val="00DA0278"/>
    <w:rsid w:val="00DA1814"/>
    <w:rsid w:val="00DA4508"/>
    <w:rsid w:val="00DB08D5"/>
    <w:rsid w:val="00DB31F8"/>
    <w:rsid w:val="00DB6617"/>
    <w:rsid w:val="00DB6921"/>
    <w:rsid w:val="00DD3DBF"/>
    <w:rsid w:val="00DD63D4"/>
    <w:rsid w:val="00DD6D8E"/>
    <w:rsid w:val="00DD755D"/>
    <w:rsid w:val="00DD7EA5"/>
    <w:rsid w:val="00DE2E63"/>
    <w:rsid w:val="00DE4F9D"/>
    <w:rsid w:val="00DF186E"/>
    <w:rsid w:val="00DF6206"/>
    <w:rsid w:val="00DF79D7"/>
    <w:rsid w:val="00E00E02"/>
    <w:rsid w:val="00E10CAA"/>
    <w:rsid w:val="00E12CD4"/>
    <w:rsid w:val="00E12EAB"/>
    <w:rsid w:val="00E15DC9"/>
    <w:rsid w:val="00E23C3E"/>
    <w:rsid w:val="00E30131"/>
    <w:rsid w:val="00E411D2"/>
    <w:rsid w:val="00E42971"/>
    <w:rsid w:val="00E44820"/>
    <w:rsid w:val="00E506C6"/>
    <w:rsid w:val="00E55EB3"/>
    <w:rsid w:val="00E623DB"/>
    <w:rsid w:val="00E65999"/>
    <w:rsid w:val="00E7288B"/>
    <w:rsid w:val="00E72C96"/>
    <w:rsid w:val="00E803DF"/>
    <w:rsid w:val="00E81A1F"/>
    <w:rsid w:val="00E82872"/>
    <w:rsid w:val="00E82EEE"/>
    <w:rsid w:val="00E8373D"/>
    <w:rsid w:val="00EA0164"/>
    <w:rsid w:val="00EA6CCD"/>
    <w:rsid w:val="00EA6F11"/>
    <w:rsid w:val="00EA7228"/>
    <w:rsid w:val="00EB1060"/>
    <w:rsid w:val="00EC3544"/>
    <w:rsid w:val="00ED2897"/>
    <w:rsid w:val="00ED5CE2"/>
    <w:rsid w:val="00ED7273"/>
    <w:rsid w:val="00EE0371"/>
    <w:rsid w:val="00EE26C2"/>
    <w:rsid w:val="00EE7915"/>
    <w:rsid w:val="00EF13FF"/>
    <w:rsid w:val="00EF1CA2"/>
    <w:rsid w:val="00EF390A"/>
    <w:rsid w:val="00F213FF"/>
    <w:rsid w:val="00F23FAE"/>
    <w:rsid w:val="00F24A0E"/>
    <w:rsid w:val="00F319E2"/>
    <w:rsid w:val="00F32F4F"/>
    <w:rsid w:val="00F355E4"/>
    <w:rsid w:val="00F358AE"/>
    <w:rsid w:val="00F411C3"/>
    <w:rsid w:val="00F4362A"/>
    <w:rsid w:val="00F4657C"/>
    <w:rsid w:val="00F46CE4"/>
    <w:rsid w:val="00F50AC5"/>
    <w:rsid w:val="00F56C0B"/>
    <w:rsid w:val="00F56FED"/>
    <w:rsid w:val="00F6050F"/>
    <w:rsid w:val="00F64995"/>
    <w:rsid w:val="00F659A6"/>
    <w:rsid w:val="00F732BD"/>
    <w:rsid w:val="00F81383"/>
    <w:rsid w:val="00F84393"/>
    <w:rsid w:val="00F85095"/>
    <w:rsid w:val="00F96657"/>
    <w:rsid w:val="00FA2D3D"/>
    <w:rsid w:val="00FA6D20"/>
    <w:rsid w:val="00FB5411"/>
    <w:rsid w:val="00FB57DE"/>
    <w:rsid w:val="00FB72FB"/>
    <w:rsid w:val="00FC764A"/>
    <w:rsid w:val="00FD083F"/>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90AD76"/>
  <w15:docId w15:val="{EFE772B9-1BA9-45BA-AB75-60A1F7EC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Pa1">
    <w:name w:val="Pa1"/>
    <w:basedOn w:val="Normal"/>
    <w:next w:val="Normal"/>
    <w:uiPriority w:val="99"/>
    <w:rsid w:val="00EF1CA2"/>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EF1CA2"/>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E4F0E319-E9B9-4D6C-9012-06B81943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15</Pages>
  <Words>5116</Words>
  <Characters>28140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68</cp:revision>
  <cp:lastPrinted>2018-06-28T18:37:00Z</cp:lastPrinted>
  <dcterms:created xsi:type="dcterms:W3CDTF">2018-11-22T19:41:00Z</dcterms:created>
  <dcterms:modified xsi:type="dcterms:W3CDTF">2019-04-08T20:02:00Z</dcterms:modified>
</cp:coreProperties>
</file>