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136"/>
        <w:tblW w:w="9780" w:type="dxa"/>
        <w:tblLayout w:type="fixed"/>
        <w:tblCellMar>
          <w:left w:w="70" w:type="dxa"/>
          <w:right w:w="70" w:type="dxa"/>
        </w:tblCellMar>
        <w:tblLook w:val="04A0" w:firstRow="1" w:lastRow="0" w:firstColumn="1" w:lastColumn="0" w:noHBand="0" w:noVBand="1"/>
      </w:tblPr>
      <w:tblGrid>
        <w:gridCol w:w="2356"/>
        <w:gridCol w:w="7424"/>
      </w:tblGrid>
      <w:tr w:rsidR="0087542B" w:rsidRPr="00866FC7" w14:paraId="4689B423" w14:textId="77777777" w:rsidTr="00D060D7">
        <w:tc>
          <w:tcPr>
            <w:tcW w:w="2356" w:type="dxa"/>
          </w:tcPr>
          <w:p w14:paraId="58B76B9B" w14:textId="77777777" w:rsidR="0087542B" w:rsidRPr="00866FC7" w:rsidRDefault="0087542B" w:rsidP="00D060D7">
            <w:pPr>
              <w:rPr>
                <w:rFonts w:ascii="Arial" w:eastAsia="Calibri" w:hAnsi="Arial" w:cs="Arial"/>
                <w:b/>
                <w:sz w:val="26"/>
                <w:szCs w:val="26"/>
              </w:rPr>
            </w:pPr>
          </w:p>
        </w:tc>
        <w:tc>
          <w:tcPr>
            <w:tcW w:w="7424" w:type="dxa"/>
          </w:tcPr>
          <w:p w14:paraId="0FA7F8C5" w14:textId="77777777" w:rsidR="0087542B" w:rsidRPr="00866FC7" w:rsidRDefault="0087542B" w:rsidP="00D060D7">
            <w:pPr>
              <w:tabs>
                <w:tab w:val="left" w:pos="3103"/>
              </w:tabs>
              <w:ind w:left="2961" w:hanging="2961"/>
              <w:jc w:val="both"/>
              <w:rPr>
                <w:rFonts w:ascii="Arial" w:eastAsia="Calibri" w:hAnsi="Arial" w:cs="Arial"/>
                <w:b/>
                <w:i/>
                <w:iCs/>
                <w:caps/>
                <w:sz w:val="26"/>
                <w:szCs w:val="26"/>
              </w:rPr>
            </w:pPr>
            <w:r>
              <w:rPr>
                <w:rFonts w:ascii="Arial" w:eastAsia="Calibri" w:hAnsi="Arial" w:cs="Arial"/>
                <w:b/>
                <w:i/>
                <w:iCs/>
                <w:caps/>
                <w:sz w:val="26"/>
                <w:szCs w:val="26"/>
              </w:rPr>
              <w:t xml:space="preserve">                  </w:t>
            </w:r>
            <w:r w:rsidRPr="00866FC7">
              <w:rPr>
                <w:rFonts w:ascii="Arial" w:eastAsia="Calibri" w:hAnsi="Arial" w:cs="Arial"/>
                <w:b/>
                <w:i/>
                <w:iCs/>
                <w:caps/>
                <w:sz w:val="26"/>
                <w:szCs w:val="26"/>
              </w:rPr>
              <w:t xml:space="preserve">   </w:t>
            </w:r>
          </w:p>
          <w:p w14:paraId="39FF60C7" w14:textId="41D2EED5" w:rsidR="0087542B" w:rsidRPr="00866FC7" w:rsidRDefault="0087542B" w:rsidP="00A012FC">
            <w:pPr>
              <w:tabs>
                <w:tab w:val="left" w:pos="3103"/>
              </w:tabs>
              <w:ind w:left="1046" w:hanging="1046"/>
              <w:jc w:val="both"/>
              <w:rPr>
                <w:rFonts w:ascii="Arial" w:eastAsia="Calibri" w:hAnsi="Arial" w:cs="Arial"/>
                <w:b/>
                <w:iCs/>
                <w:caps/>
                <w:sz w:val="26"/>
                <w:szCs w:val="26"/>
              </w:rPr>
            </w:pPr>
            <w:r w:rsidRPr="00866FC7">
              <w:rPr>
                <w:rFonts w:ascii="Arial" w:eastAsia="Calibri" w:hAnsi="Arial" w:cs="Arial"/>
                <w:b/>
                <w:i/>
                <w:iCs/>
                <w:caps/>
                <w:sz w:val="26"/>
                <w:szCs w:val="26"/>
              </w:rPr>
              <w:t xml:space="preserve">               </w:t>
            </w:r>
            <w:r w:rsidRPr="00866FC7">
              <w:rPr>
                <w:rFonts w:ascii="Arial" w:eastAsia="Calibri" w:hAnsi="Arial" w:cs="Arial"/>
                <w:b/>
                <w:iCs/>
                <w:caps/>
                <w:sz w:val="26"/>
                <w:szCs w:val="26"/>
              </w:rPr>
              <w:t xml:space="preserve">SALA SUPERIOR DEL </w:t>
            </w:r>
            <w:r w:rsidR="00A67B19" w:rsidRPr="00866FC7">
              <w:rPr>
                <w:rFonts w:ascii="Arial" w:eastAsia="Calibri" w:hAnsi="Arial" w:cs="Arial"/>
                <w:b/>
                <w:iCs/>
                <w:caps/>
                <w:sz w:val="26"/>
                <w:szCs w:val="26"/>
              </w:rPr>
              <w:t xml:space="preserve">TRIBUNAL </w:t>
            </w:r>
            <w:r w:rsidR="00A67B19">
              <w:rPr>
                <w:rFonts w:ascii="Arial" w:eastAsia="Calibri" w:hAnsi="Arial" w:cs="Arial"/>
                <w:b/>
                <w:iCs/>
                <w:caps/>
                <w:sz w:val="26"/>
                <w:szCs w:val="26"/>
              </w:rPr>
              <w:t>DE</w:t>
            </w:r>
            <w:r>
              <w:rPr>
                <w:rFonts w:ascii="Arial" w:eastAsia="Calibri" w:hAnsi="Arial" w:cs="Arial"/>
                <w:b/>
                <w:iCs/>
                <w:caps/>
                <w:sz w:val="26"/>
                <w:szCs w:val="26"/>
              </w:rPr>
              <w:t xml:space="preserve"> JUSTICIA ADMINISTRATIVA DEL </w:t>
            </w:r>
            <w:r w:rsidRPr="00866FC7">
              <w:rPr>
                <w:rFonts w:ascii="Arial" w:eastAsia="Calibri" w:hAnsi="Arial" w:cs="Arial"/>
                <w:b/>
                <w:iCs/>
                <w:caps/>
                <w:sz w:val="26"/>
                <w:szCs w:val="26"/>
              </w:rPr>
              <w:t>ESTADO</w:t>
            </w:r>
            <w:r>
              <w:rPr>
                <w:rFonts w:ascii="Arial" w:eastAsia="Calibri" w:hAnsi="Arial" w:cs="Arial"/>
                <w:b/>
                <w:iCs/>
                <w:caps/>
                <w:sz w:val="26"/>
                <w:szCs w:val="26"/>
              </w:rPr>
              <w:t xml:space="preserve"> DE OAXACA.</w:t>
            </w:r>
          </w:p>
          <w:p w14:paraId="15308983" w14:textId="77777777" w:rsidR="0087542B" w:rsidRPr="00866FC7" w:rsidRDefault="0087542B" w:rsidP="00A012FC">
            <w:pPr>
              <w:tabs>
                <w:tab w:val="right" w:pos="8504"/>
              </w:tabs>
              <w:ind w:left="1046" w:right="51" w:hanging="1046"/>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14:paraId="02182A8E" w14:textId="4DF4CCAD" w:rsidR="0087542B" w:rsidRDefault="0087542B" w:rsidP="00A012FC">
            <w:pPr>
              <w:tabs>
                <w:tab w:val="right" w:pos="8504"/>
              </w:tabs>
              <w:ind w:left="1046" w:right="51" w:hanging="1046"/>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r w:rsidR="007F3346">
              <w:rPr>
                <w:rFonts w:ascii="Arial" w:eastAsia="PMingLiU" w:hAnsi="Arial" w:cs="Arial"/>
                <w:b/>
                <w:iCs/>
                <w:caps/>
                <w:sz w:val="26"/>
                <w:szCs w:val="26"/>
                <w:lang w:eastAsia="zh-TW"/>
              </w:rPr>
              <w:t xml:space="preserve">      RECURSO DE REVISIÓN:  </w:t>
            </w:r>
            <w:r w:rsidR="004D05D6">
              <w:rPr>
                <w:rFonts w:ascii="Arial" w:eastAsia="PMingLiU" w:hAnsi="Arial" w:cs="Arial"/>
                <w:b/>
                <w:iCs/>
                <w:caps/>
                <w:sz w:val="26"/>
                <w:szCs w:val="26"/>
                <w:lang w:eastAsia="zh-TW"/>
              </w:rPr>
              <w:t>0163</w:t>
            </w:r>
            <w:r w:rsidR="007F3346">
              <w:rPr>
                <w:rFonts w:ascii="Arial" w:eastAsia="PMingLiU" w:hAnsi="Arial" w:cs="Arial"/>
                <w:b/>
                <w:iCs/>
                <w:caps/>
                <w:sz w:val="26"/>
                <w:szCs w:val="26"/>
                <w:lang w:eastAsia="zh-TW"/>
              </w:rPr>
              <w:t>/2018</w:t>
            </w:r>
          </w:p>
          <w:p w14:paraId="435CD4FA" w14:textId="77777777" w:rsidR="004D05D6" w:rsidRPr="00866FC7" w:rsidRDefault="004D05D6" w:rsidP="00A012FC">
            <w:pPr>
              <w:tabs>
                <w:tab w:val="right" w:pos="8504"/>
              </w:tabs>
              <w:ind w:left="1046" w:right="51" w:hanging="1046"/>
              <w:jc w:val="both"/>
              <w:rPr>
                <w:rFonts w:ascii="Arial" w:eastAsia="PMingLiU" w:hAnsi="Arial" w:cs="Arial"/>
                <w:b/>
                <w:iCs/>
                <w:caps/>
                <w:sz w:val="26"/>
                <w:szCs w:val="26"/>
                <w:lang w:eastAsia="zh-TW"/>
              </w:rPr>
            </w:pPr>
          </w:p>
          <w:p w14:paraId="5231912B" w14:textId="7D93E000" w:rsidR="0087542B" w:rsidRPr="00866FC7" w:rsidRDefault="0087542B" w:rsidP="00A012FC">
            <w:pPr>
              <w:tabs>
                <w:tab w:val="right" w:pos="8504"/>
              </w:tabs>
              <w:ind w:left="1046" w:right="51" w:hanging="1046"/>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r w:rsidR="004E2127">
              <w:rPr>
                <w:rFonts w:ascii="Arial" w:eastAsia="PMingLiU" w:hAnsi="Arial" w:cs="Arial"/>
                <w:b/>
                <w:iCs/>
                <w:caps/>
                <w:sz w:val="26"/>
                <w:szCs w:val="26"/>
                <w:lang w:eastAsia="zh-TW"/>
              </w:rPr>
              <w:t>EXPEDIENTE</w:t>
            </w:r>
            <w:r w:rsidR="00063AEE">
              <w:rPr>
                <w:rFonts w:ascii="Arial" w:eastAsia="PMingLiU" w:hAnsi="Arial" w:cs="Arial"/>
                <w:b/>
                <w:iCs/>
                <w:caps/>
                <w:sz w:val="26"/>
                <w:szCs w:val="26"/>
                <w:lang w:eastAsia="zh-TW"/>
              </w:rPr>
              <w:t xml:space="preserve">: </w:t>
            </w:r>
            <w:r w:rsidR="004D05D6">
              <w:rPr>
                <w:rFonts w:ascii="Arial" w:eastAsia="PMingLiU" w:hAnsi="Arial" w:cs="Arial"/>
                <w:b/>
                <w:iCs/>
                <w:caps/>
                <w:sz w:val="26"/>
                <w:szCs w:val="26"/>
                <w:lang w:eastAsia="zh-TW"/>
              </w:rPr>
              <w:t>141/2017</w:t>
            </w:r>
            <w:r>
              <w:rPr>
                <w:rFonts w:ascii="Arial" w:eastAsia="PMingLiU" w:hAnsi="Arial" w:cs="Arial"/>
                <w:b/>
                <w:iCs/>
                <w:caps/>
                <w:sz w:val="26"/>
                <w:szCs w:val="26"/>
                <w:lang w:eastAsia="zh-TW"/>
              </w:rPr>
              <w:t xml:space="preserve"> DE LA </w:t>
            </w:r>
            <w:r w:rsidR="004D05D6">
              <w:rPr>
                <w:rFonts w:ascii="Arial" w:eastAsia="PMingLiU" w:hAnsi="Arial" w:cs="Arial"/>
                <w:b/>
                <w:iCs/>
                <w:caps/>
                <w:sz w:val="26"/>
                <w:szCs w:val="26"/>
                <w:lang w:eastAsia="zh-TW"/>
              </w:rPr>
              <w:t xml:space="preserve">septima </w:t>
            </w:r>
            <w:r>
              <w:rPr>
                <w:rFonts w:ascii="Arial" w:eastAsia="PMingLiU" w:hAnsi="Arial" w:cs="Arial"/>
                <w:b/>
                <w:iCs/>
                <w:caps/>
                <w:sz w:val="26"/>
                <w:szCs w:val="26"/>
                <w:lang w:eastAsia="zh-TW"/>
              </w:rPr>
              <w:t>sala</w:t>
            </w:r>
            <w:r w:rsidR="007F3346">
              <w:rPr>
                <w:rFonts w:ascii="Arial" w:eastAsia="PMingLiU" w:hAnsi="Arial" w:cs="Arial"/>
                <w:b/>
                <w:iCs/>
                <w:caps/>
                <w:sz w:val="26"/>
                <w:szCs w:val="26"/>
                <w:lang w:eastAsia="zh-TW"/>
              </w:rPr>
              <w:t xml:space="preserve"> UNI</w:t>
            </w:r>
            <w:r w:rsidRPr="00866FC7">
              <w:rPr>
                <w:rFonts w:ascii="Arial" w:eastAsia="PMingLiU" w:hAnsi="Arial" w:cs="Arial"/>
                <w:b/>
                <w:iCs/>
                <w:caps/>
                <w:sz w:val="26"/>
                <w:szCs w:val="26"/>
                <w:lang w:eastAsia="zh-TW"/>
              </w:rPr>
              <w:t xml:space="preserve">ITARIA de primera instancia. </w:t>
            </w:r>
          </w:p>
          <w:p w14:paraId="529B098B" w14:textId="77777777" w:rsidR="0087542B" w:rsidRPr="00866FC7" w:rsidRDefault="0087542B" w:rsidP="00A012FC">
            <w:pPr>
              <w:tabs>
                <w:tab w:val="right" w:pos="8504"/>
              </w:tabs>
              <w:ind w:left="1046" w:right="51" w:hanging="1046"/>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14:paraId="20C9FB0E" w14:textId="63009E32" w:rsidR="0087542B" w:rsidRPr="00866FC7" w:rsidRDefault="0087542B" w:rsidP="00A012FC">
            <w:pPr>
              <w:tabs>
                <w:tab w:val="right" w:pos="8504"/>
              </w:tabs>
              <w:ind w:left="1046" w:right="51" w:hanging="1046"/>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r>
              <w:rPr>
                <w:rFonts w:ascii="Arial" w:eastAsia="PMingLiU" w:hAnsi="Arial" w:cs="Arial"/>
                <w:b/>
                <w:iCs/>
                <w:caps/>
                <w:sz w:val="26"/>
                <w:szCs w:val="26"/>
                <w:lang w:eastAsia="zh-TW"/>
              </w:rPr>
              <w:t>ponente:</w:t>
            </w:r>
            <w:r w:rsidR="000A0212">
              <w:rPr>
                <w:rFonts w:ascii="Arial" w:eastAsia="PMingLiU" w:hAnsi="Arial" w:cs="Arial"/>
                <w:b/>
                <w:iCs/>
                <w:caps/>
                <w:sz w:val="26"/>
                <w:szCs w:val="26"/>
                <w:lang w:eastAsia="zh-TW"/>
              </w:rPr>
              <w:t xml:space="preserve"> MAGISTRADA </w:t>
            </w:r>
            <w:r>
              <w:rPr>
                <w:rFonts w:ascii="Arial" w:eastAsia="PMingLiU" w:hAnsi="Arial" w:cs="Arial"/>
                <w:b/>
                <w:iCs/>
                <w:caps/>
                <w:sz w:val="26"/>
                <w:szCs w:val="26"/>
                <w:lang w:eastAsia="zh-TW"/>
              </w:rPr>
              <w:t>MARÍA ELENA VILLA DE JARQUÍ</w:t>
            </w:r>
            <w:r w:rsidRPr="00866FC7">
              <w:rPr>
                <w:rFonts w:ascii="Arial" w:eastAsia="PMingLiU" w:hAnsi="Arial" w:cs="Arial"/>
                <w:b/>
                <w:iCs/>
                <w:caps/>
                <w:sz w:val="26"/>
                <w:szCs w:val="26"/>
                <w:lang w:eastAsia="zh-TW"/>
              </w:rPr>
              <w:t>N.</w:t>
            </w:r>
          </w:p>
          <w:p w14:paraId="7FB10E97" w14:textId="77777777" w:rsidR="0087542B" w:rsidRPr="00866FC7" w:rsidRDefault="0087542B" w:rsidP="00D060D7">
            <w:pPr>
              <w:tabs>
                <w:tab w:val="right" w:pos="8504"/>
              </w:tabs>
              <w:ind w:right="51"/>
              <w:jc w:val="both"/>
              <w:rPr>
                <w:rFonts w:ascii="Arial" w:eastAsia="PMingLiU" w:hAnsi="Arial" w:cs="Arial"/>
                <w:b/>
                <w:iCs/>
                <w:caps/>
                <w:sz w:val="26"/>
                <w:szCs w:val="26"/>
                <w:lang w:eastAsia="zh-TW"/>
              </w:rPr>
            </w:pPr>
          </w:p>
        </w:tc>
      </w:tr>
      <w:tr w:rsidR="0087542B" w:rsidRPr="00866FC7" w14:paraId="629E4EFC" w14:textId="77777777" w:rsidTr="00D060D7">
        <w:tc>
          <w:tcPr>
            <w:tcW w:w="2356" w:type="dxa"/>
          </w:tcPr>
          <w:p w14:paraId="2BD0712B" w14:textId="77777777" w:rsidR="0087542B" w:rsidRPr="00866FC7" w:rsidRDefault="0087542B" w:rsidP="00D060D7">
            <w:pPr>
              <w:rPr>
                <w:rFonts w:ascii="Arial" w:eastAsia="Calibri" w:hAnsi="Arial" w:cs="Arial"/>
                <w:b/>
                <w:sz w:val="26"/>
                <w:szCs w:val="26"/>
              </w:rPr>
            </w:pPr>
          </w:p>
        </w:tc>
        <w:tc>
          <w:tcPr>
            <w:tcW w:w="7424" w:type="dxa"/>
            <w:hideMark/>
          </w:tcPr>
          <w:p w14:paraId="769238EA" w14:textId="77777777" w:rsidR="0087542B" w:rsidRPr="00866FC7" w:rsidRDefault="0087542B" w:rsidP="00D060D7">
            <w:pPr>
              <w:tabs>
                <w:tab w:val="left" w:pos="3103"/>
              </w:tabs>
              <w:ind w:left="2961" w:hanging="2961"/>
              <w:jc w:val="both"/>
              <w:rPr>
                <w:rFonts w:ascii="Arial" w:eastAsia="Calibri" w:hAnsi="Arial" w:cs="Arial"/>
                <w:b/>
                <w:iCs/>
                <w:caps/>
                <w:sz w:val="26"/>
                <w:szCs w:val="26"/>
              </w:rPr>
            </w:pPr>
            <w:r w:rsidRPr="00866FC7">
              <w:rPr>
                <w:rFonts w:ascii="Arial" w:eastAsia="Calibri" w:hAnsi="Arial" w:cs="Arial"/>
                <w:b/>
                <w:i/>
                <w:iCs/>
                <w:caps/>
                <w:sz w:val="26"/>
                <w:szCs w:val="26"/>
              </w:rPr>
              <w:t xml:space="preserve">                                   </w:t>
            </w:r>
          </w:p>
        </w:tc>
      </w:tr>
      <w:tr w:rsidR="0087542B" w:rsidRPr="00866FC7" w14:paraId="30EA3C94" w14:textId="77777777" w:rsidTr="00D060D7">
        <w:tc>
          <w:tcPr>
            <w:tcW w:w="2356" w:type="dxa"/>
          </w:tcPr>
          <w:p w14:paraId="6E48FBA0" w14:textId="77777777" w:rsidR="0087542B" w:rsidRPr="00866FC7" w:rsidRDefault="0087542B" w:rsidP="00D060D7">
            <w:pPr>
              <w:rPr>
                <w:rFonts w:ascii="Arial" w:eastAsia="Calibri" w:hAnsi="Arial" w:cs="Arial"/>
                <w:b/>
                <w:sz w:val="26"/>
                <w:szCs w:val="26"/>
              </w:rPr>
            </w:pPr>
          </w:p>
        </w:tc>
        <w:tc>
          <w:tcPr>
            <w:tcW w:w="7424" w:type="dxa"/>
          </w:tcPr>
          <w:p w14:paraId="00EA206A" w14:textId="77777777" w:rsidR="0087542B" w:rsidRPr="00866FC7" w:rsidRDefault="0087542B" w:rsidP="00D060D7">
            <w:pPr>
              <w:tabs>
                <w:tab w:val="left" w:pos="3103"/>
              </w:tabs>
              <w:ind w:left="2961" w:hanging="2961"/>
              <w:jc w:val="both"/>
              <w:rPr>
                <w:rFonts w:ascii="Arial" w:eastAsia="Calibri" w:hAnsi="Arial" w:cs="Arial"/>
                <w:b/>
                <w:iCs/>
                <w:caps/>
                <w:sz w:val="26"/>
                <w:szCs w:val="26"/>
              </w:rPr>
            </w:pPr>
          </w:p>
        </w:tc>
      </w:tr>
    </w:tbl>
    <w:p w14:paraId="2522CAD7" w14:textId="3EDE2AEE" w:rsidR="0087542B" w:rsidRDefault="0087542B" w:rsidP="0087542B">
      <w:pPr>
        <w:spacing w:line="360" w:lineRule="auto"/>
        <w:jc w:val="both"/>
        <w:rPr>
          <w:rFonts w:ascii="Arial" w:eastAsia="Calibri" w:hAnsi="Arial" w:cs="Arial"/>
          <w:b/>
          <w:sz w:val="26"/>
          <w:szCs w:val="26"/>
        </w:rPr>
      </w:pPr>
      <w:r w:rsidRPr="00866FC7">
        <w:rPr>
          <w:rFonts w:ascii="Arial" w:eastAsia="Calibri" w:hAnsi="Arial" w:cs="Arial"/>
          <w:b/>
          <w:sz w:val="26"/>
          <w:szCs w:val="26"/>
        </w:rPr>
        <w:t>O</w:t>
      </w:r>
      <w:r w:rsidR="0021190F">
        <w:rPr>
          <w:rFonts w:ascii="Arial" w:eastAsia="Calibri" w:hAnsi="Arial" w:cs="Arial"/>
          <w:b/>
          <w:sz w:val="26"/>
          <w:szCs w:val="26"/>
        </w:rPr>
        <w:t xml:space="preserve">AXACA DE JUÁREZ, OAXACA, VEINTIOCHO </w:t>
      </w:r>
      <w:r>
        <w:rPr>
          <w:rFonts w:ascii="Arial" w:eastAsia="Calibri" w:hAnsi="Arial" w:cs="Arial"/>
          <w:b/>
          <w:sz w:val="26"/>
          <w:szCs w:val="26"/>
        </w:rPr>
        <w:t>DE</w:t>
      </w:r>
      <w:r w:rsidR="00D05C72">
        <w:rPr>
          <w:rFonts w:ascii="Arial" w:eastAsia="Calibri" w:hAnsi="Arial" w:cs="Arial"/>
          <w:b/>
          <w:sz w:val="26"/>
          <w:szCs w:val="26"/>
        </w:rPr>
        <w:t xml:space="preserve"> </w:t>
      </w:r>
      <w:r w:rsidR="008152EF">
        <w:rPr>
          <w:rFonts w:ascii="Arial" w:eastAsia="Calibri" w:hAnsi="Arial" w:cs="Arial"/>
          <w:b/>
          <w:sz w:val="26"/>
          <w:szCs w:val="26"/>
        </w:rPr>
        <w:t xml:space="preserve">FEBRERO </w:t>
      </w:r>
      <w:r>
        <w:rPr>
          <w:rFonts w:ascii="Arial" w:eastAsia="Calibri" w:hAnsi="Arial" w:cs="Arial"/>
          <w:b/>
          <w:sz w:val="26"/>
          <w:szCs w:val="26"/>
        </w:rPr>
        <w:t>DE</w:t>
      </w:r>
      <w:r w:rsidR="00D05C72">
        <w:rPr>
          <w:rFonts w:ascii="Arial" w:eastAsia="Calibri" w:hAnsi="Arial" w:cs="Arial"/>
          <w:b/>
          <w:sz w:val="26"/>
          <w:szCs w:val="26"/>
        </w:rPr>
        <w:t xml:space="preserve"> </w:t>
      </w:r>
      <w:r>
        <w:rPr>
          <w:rFonts w:ascii="Arial" w:eastAsia="Calibri" w:hAnsi="Arial" w:cs="Arial"/>
          <w:b/>
          <w:sz w:val="26"/>
          <w:szCs w:val="26"/>
        </w:rPr>
        <w:t>DOS MIL DIECI</w:t>
      </w:r>
      <w:r w:rsidR="00D05C72">
        <w:rPr>
          <w:rFonts w:ascii="Arial" w:eastAsia="Calibri" w:hAnsi="Arial" w:cs="Arial"/>
          <w:b/>
          <w:sz w:val="26"/>
          <w:szCs w:val="26"/>
        </w:rPr>
        <w:t>NUEVE</w:t>
      </w:r>
      <w:r>
        <w:rPr>
          <w:rFonts w:ascii="Arial" w:eastAsia="Calibri" w:hAnsi="Arial" w:cs="Arial"/>
          <w:b/>
          <w:sz w:val="26"/>
          <w:szCs w:val="26"/>
        </w:rPr>
        <w:t xml:space="preserve">.   </w:t>
      </w:r>
    </w:p>
    <w:p w14:paraId="42CC6D9D" w14:textId="11BC568C" w:rsidR="0087542B" w:rsidRDefault="0087542B" w:rsidP="004D05D6">
      <w:pPr>
        <w:spacing w:line="360" w:lineRule="auto"/>
        <w:ind w:firstLine="708"/>
        <w:jc w:val="both"/>
        <w:rPr>
          <w:rFonts w:ascii="Arial" w:hAnsi="Arial" w:cs="Arial"/>
          <w:sz w:val="26"/>
          <w:szCs w:val="26"/>
        </w:rPr>
      </w:pPr>
      <w:r w:rsidRPr="00866FC7">
        <w:rPr>
          <w:rFonts w:ascii="Arial" w:hAnsi="Arial" w:cs="Arial"/>
          <w:sz w:val="26"/>
          <w:szCs w:val="26"/>
        </w:rPr>
        <w:t xml:space="preserve">Por recibido el Cuaderno de Revisión </w:t>
      </w:r>
      <w:r w:rsidR="004D05D6">
        <w:rPr>
          <w:rFonts w:ascii="Arial" w:hAnsi="Arial" w:cs="Arial"/>
          <w:b/>
          <w:sz w:val="26"/>
          <w:szCs w:val="26"/>
        </w:rPr>
        <w:t>0163</w:t>
      </w:r>
      <w:r w:rsidRPr="00866FC7">
        <w:rPr>
          <w:rFonts w:ascii="Arial" w:hAnsi="Arial" w:cs="Arial"/>
          <w:b/>
          <w:sz w:val="26"/>
          <w:szCs w:val="26"/>
        </w:rPr>
        <w:t>/201</w:t>
      </w:r>
      <w:r w:rsidR="007F3346">
        <w:rPr>
          <w:rFonts w:ascii="Arial" w:hAnsi="Arial" w:cs="Arial"/>
          <w:b/>
          <w:sz w:val="26"/>
          <w:szCs w:val="26"/>
        </w:rPr>
        <w:t>8</w:t>
      </w:r>
      <w:r w:rsidRPr="00866FC7">
        <w:rPr>
          <w:rFonts w:ascii="Arial" w:hAnsi="Arial" w:cs="Arial"/>
          <w:sz w:val="26"/>
          <w:szCs w:val="26"/>
        </w:rPr>
        <w:t>, que remite la Secretaría General de Acuerdos, con motivo del recurso de revisión interpuesto por</w:t>
      </w:r>
      <w:r w:rsidR="004D05D6">
        <w:rPr>
          <w:rFonts w:ascii="Arial" w:hAnsi="Arial" w:cs="Arial"/>
          <w:b/>
          <w:sz w:val="26"/>
          <w:szCs w:val="26"/>
        </w:rPr>
        <w:t xml:space="preserve"> </w:t>
      </w:r>
      <w:r w:rsidR="001720D6">
        <w:rPr>
          <w:rFonts w:ascii="Arial" w:hAnsi="Arial" w:cs="Arial"/>
          <w:b/>
          <w:sz w:val="26"/>
          <w:szCs w:val="26"/>
        </w:rPr>
        <w:t>EL DIRECTOR GENERAL DE LA OFICINA DE PENSIONES DEL ESTADO DE OAXACA</w:t>
      </w:r>
      <w:r w:rsidR="001720D6" w:rsidRPr="00866FC7">
        <w:rPr>
          <w:rFonts w:ascii="Arial" w:hAnsi="Arial" w:cs="Arial"/>
          <w:b/>
          <w:sz w:val="26"/>
          <w:szCs w:val="26"/>
        </w:rPr>
        <w:t>,</w:t>
      </w:r>
      <w:r w:rsidRPr="00866FC7">
        <w:rPr>
          <w:rFonts w:ascii="Arial" w:hAnsi="Arial" w:cs="Arial"/>
          <w:sz w:val="26"/>
          <w:szCs w:val="26"/>
        </w:rPr>
        <w:t xml:space="preserve"> e</w:t>
      </w:r>
      <w:r w:rsidR="000A0212">
        <w:rPr>
          <w:rFonts w:ascii="Arial" w:hAnsi="Arial" w:cs="Arial"/>
          <w:sz w:val="26"/>
          <w:szCs w:val="26"/>
        </w:rPr>
        <w:t xml:space="preserve">n contra </w:t>
      </w:r>
      <w:r>
        <w:rPr>
          <w:rFonts w:ascii="Arial" w:hAnsi="Arial" w:cs="Arial"/>
          <w:sz w:val="26"/>
          <w:szCs w:val="26"/>
        </w:rPr>
        <w:t xml:space="preserve">de la </w:t>
      </w:r>
      <w:r w:rsidR="004E2127">
        <w:rPr>
          <w:rFonts w:ascii="Arial" w:hAnsi="Arial" w:cs="Arial"/>
          <w:sz w:val="26"/>
          <w:szCs w:val="26"/>
        </w:rPr>
        <w:t xml:space="preserve">sentencia de </w:t>
      </w:r>
      <w:r w:rsidR="004D05D6">
        <w:rPr>
          <w:rFonts w:ascii="Arial" w:hAnsi="Arial" w:cs="Arial"/>
          <w:sz w:val="26"/>
          <w:szCs w:val="26"/>
        </w:rPr>
        <w:t>12 doce de abril de 2018 dos mil dieciocho</w:t>
      </w:r>
      <w:r>
        <w:rPr>
          <w:rFonts w:ascii="Arial" w:hAnsi="Arial" w:cs="Arial"/>
          <w:sz w:val="26"/>
          <w:szCs w:val="26"/>
        </w:rPr>
        <w:t>, dictada</w:t>
      </w:r>
      <w:r w:rsidRPr="00866FC7">
        <w:rPr>
          <w:rFonts w:ascii="Arial" w:hAnsi="Arial" w:cs="Arial"/>
          <w:sz w:val="26"/>
          <w:szCs w:val="26"/>
        </w:rPr>
        <w:t xml:space="preserve"> en el </w:t>
      </w:r>
      <w:r w:rsidR="004E2127">
        <w:rPr>
          <w:rFonts w:ascii="Arial" w:hAnsi="Arial" w:cs="Arial"/>
          <w:sz w:val="26"/>
          <w:szCs w:val="26"/>
        </w:rPr>
        <w:t>expediente</w:t>
      </w:r>
      <w:r w:rsidR="007F3346">
        <w:rPr>
          <w:rFonts w:ascii="Arial" w:hAnsi="Arial" w:cs="Arial"/>
          <w:sz w:val="26"/>
          <w:szCs w:val="26"/>
        </w:rPr>
        <w:t xml:space="preserve"> </w:t>
      </w:r>
      <w:r w:rsidR="004D05D6">
        <w:rPr>
          <w:rFonts w:ascii="Arial" w:hAnsi="Arial" w:cs="Arial"/>
          <w:b/>
          <w:sz w:val="26"/>
          <w:szCs w:val="26"/>
        </w:rPr>
        <w:t>141/2017</w:t>
      </w:r>
      <w:r w:rsidRPr="00866FC7">
        <w:rPr>
          <w:rFonts w:ascii="Arial" w:hAnsi="Arial" w:cs="Arial"/>
          <w:b/>
          <w:sz w:val="26"/>
          <w:szCs w:val="26"/>
        </w:rPr>
        <w:t>,</w:t>
      </w:r>
      <w:r w:rsidRPr="00866FC7">
        <w:rPr>
          <w:rFonts w:ascii="Arial" w:hAnsi="Arial" w:cs="Arial"/>
          <w:sz w:val="26"/>
          <w:szCs w:val="26"/>
        </w:rPr>
        <w:t xml:space="preserve"> </w:t>
      </w:r>
      <w:r>
        <w:rPr>
          <w:rFonts w:ascii="Arial" w:hAnsi="Arial" w:cs="Arial"/>
          <w:sz w:val="26"/>
          <w:szCs w:val="26"/>
        </w:rPr>
        <w:t>de la</w:t>
      </w:r>
      <w:r w:rsidRPr="00866FC7">
        <w:rPr>
          <w:rFonts w:ascii="Arial" w:hAnsi="Arial" w:cs="Arial"/>
          <w:sz w:val="26"/>
          <w:szCs w:val="26"/>
        </w:rPr>
        <w:t xml:space="preserve"> </w:t>
      </w:r>
      <w:r w:rsidR="004D05D6">
        <w:rPr>
          <w:rFonts w:ascii="Arial" w:hAnsi="Arial" w:cs="Arial"/>
          <w:sz w:val="26"/>
          <w:szCs w:val="26"/>
        </w:rPr>
        <w:t xml:space="preserve">Séptima </w:t>
      </w:r>
      <w:r>
        <w:rPr>
          <w:rFonts w:ascii="Arial" w:hAnsi="Arial" w:cs="Arial"/>
          <w:sz w:val="26"/>
          <w:szCs w:val="26"/>
        </w:rPr>
        <w:t xml:space="preserve">Sala </w:t>
      </w:r>
      <w:r w:rsidRPr="00866FC7">
        <w:rPr>
          <w:rFonts w:ascii="Arial" w:hAnsi="Arial" w:cs="Arial"/>
          <w:sz w:val="26"/>
          <w:szCs w:val="26"/>
        </w:rPr>
        <w:t>Unitaria de Primera Instancia, relativo al juicio</w:t>
      </w:r>
      <w:r w:rsidR="00DD3DBF">
        <w:rPr>
          <w:rFonts w:ascii="Arial" w:hAnsi="Arial" w:cs="Arial"/>
          <w:sz w:val="26"/>
          <w:szCs w:val="26"/>
        </w:rPr>
        <w:t xml:space="preserve"> de nulidad promovido por</w:t>
      </w:r>
      <w:r w:rsidR="004D05D6">
        <w:rPr>
          <w:rFonts w:ascii="Arial" w:hAnsi="Arial" w:cs="Arial"/>
          <w:sz w:val="26"/>
          <w:szCs w:val="26"/>
        </w:rPr>
        <w:t xml:space="preserve"> </w:t>
      </w:r>
      <w:r w:rsidR="00703F06">
        <w:rPr>
          <w:rFonts w:ascii="Arial" w:hAnsi="Arial" w:cs="Arial"/>
          <w:b/>
          <w:sz w:val="26"/>
          <w:szCs w:val="26"/>
        </w:rPr>
        <w:t>**********</w:t>
      </w:r>
      <w:r w:rsidRPr="00866FC7">
        <w:rPr>
          <w:rFonts w:ascii="Arial" w:hAnsi="Arial" w:cs="Arial"/>
          <w:b/>
          <w:sz w:val="26"/>
          <w:szCs w:val="26"/>
        </w:rPr>
        <w:t>,</w:t>
      </w:r>
      <w:r w:rsidR="00DD3DBF">
        <w:rPr>
          <w:rFonts w:ascii="Arial" w:hAnsi="Arial" w:cs="Arial"/>
          <w:b/>
          <w:sz w:val="26"/>
          <w:szCs w:val="26"/>
        </w:rPr>
        <w:t xml:space="preserve"> </w:t>
      </w:r>
      <w:r w:rsidR="00DD3DBF" w:rsidRPr="00DD3DBF">
        <w:rPr>
          <w:rFonts w:ascii="Arial" w:hAnsi="Arial" w:cs="Arial"/>
          <w:sz w:val="26"/>
          <w:szCs w:val="26"/>
        </w:rPr>
        <w:t>parte actora</w:t>
      </w:r>
      <w:r w:rsidRPr="00866FC7">
        <w:rPr>
          <w:rFonts w:ascii="Arial" w:hAnsi="Arial" w:cs="Arial"/>
          <w:b/>
          <w:sz w:val="26"/>
          <w:szCs w:val="26"/>
        </w:rPr>
        <w:t xml:space="preserve"> </w:t>
      </w:r>
      <w:r w:rsidRPr="00866FC7">
        <w:rPr>
          <w:rFonts w:ascii="Arial" w:hAnsi="Arial" w:cs="Arial"/>
          <w:sz w:val="26"/>
          <w:szCs w:val="26"/>
        </w:rPr>
        <w:t>en contra de</w:t>
      </w:r>
      <w:r w:rsidR="00DD3DBF">
        <w:rPr>
          <w:rFonts w:ascii="Arial" w:hAnsi="Arial" w:cs="Arial"/>
          <w:sz w:val="26"/>
          <w:szCs w:val="26"/>
        </w:rPr>
        <w:t>l</w:t>
      </w:r>
      <w:r>
        <w:rPr>
          <w:rFonts w:ascii="Arial" w:hAnsi="Arial" w:cs="Arial"/>
          <w:sz w:val="26"/>
          <w:szCs w:val="26"/>
        </w:rPr>
        <w:t xml:space="preserve"> </w:t>
      </w:r>
      <w:r w:rsidR="004D05D6">
        <w:rPr>
          <w:rFonts w:ascii="Arial" w:hAnsi="Arial" w:cs="Arial"/>
          <w:b/>
          <w:sz w:val="26"/>
          <w:szCs w:val="26"/>
        </w:rPr>
        <w:t xml:space="preserve"> DIRECTOR  GENERAL Y CONSEJO DIRECTIVO AMBOS DE LA OFICINA DE </w:t>
      </w:r>
      <w:r w:rsidR="0021190F">
        <w:rPr>
          <w:rFonts w:ascii="Arial" w:hAnsi="Arial" w:cs="Arial"/>
          <w:b/>
          <w:sz w:val="26"/>
          <w:szCs w:val="26"/>
        </w:rPr>
        <w:t>PENSIONES DEL ESTADO DE OAXACA,</w:t>
      </w:r>
      <w:r w:rsidR="004D05D6">
        <w:rPr>
          <w:rFonts w:ascii="Arial" w:hAnsi="Arial" w:cs="Arial"/>
          <w:b/>
          <w:sz w:val="26"/>
          <w:szCs w:val="26"/>
        </w:rPr>
        <w:t xml:space="preserve"> </w:t>
      </w:r>
      <w:r w:rsidR="0021190F" w:rsidRPr="006F2514">
        <w:rPr>
          <w:rFonts w:ascii="Arial" w:hAnsi="Arial" w:cs="Arial"/>
          <w:sz w:val="26"/>
          <w:szCs w:val="26"/>
        </w:rPr>
        <w:t>por lo que con fundamento en los artículos 236 y 237 de la Ley de Procedimiento y Justicia Administrativa para el Estado de Oaxa</w:t>
      </w:r>
      <w:r w:rsidR="0021190F">
        <w:rPr>
          <w:rFonts w:ascii="Arial" w:hAnsi="Arial" w:cs="Arial"/>
          <w:sz w:val="26"/>
          <w:szCs w:val="26"/>
        </w:rPr>
        <w:t>ca, se admite.</w:t>
      </w:r>
      <w:r w:rsidRPr="00866FC7">
        <w:rPr>
          <w:rFonts w:ascii="Arial" w:hAnsi="Arial" w:cs="Arial"/>
          <w:sz w:val="26"/>
          <w:szCs w:val="26"/>
        </w:rPr>
        <w:t xml:space="preserve"> En consecuencia, se procede a dictar resolución en los siguientes términos:</w:t>
      </w:r>
    </w:p>
    <w:p w14:paraId="4013B2F0" w14:textId="77777777" w:rsidR="00F43172" w:rsidRPr="00866FC7" w:rsidRDefault="00F43172" w:rsidP="004D05D6">
      <w:pPr>
        <w:spacing w:line="360" w:lineRule="auto"/>
        <w:ind w:firstLine="708"/>
        <w:jc w:val="both"/>
        <w:rPr>
          <w:rFonts w:ascii="Arial" w:hAnsi="Arial" w:cs="Arial"/>
          <w:sz w:val="26"/>
          <w:szCs w:val="26"/>
        </w:rPr>
      </w:pPr>
    </w:p>
    <w:p w14:paraId="2A07FA36" w14:textId="1FB00DF2" w:rsidR="00A012FC" w:rsidRPr="00866FC7" w:rsidRDefault="0087542B" w:rsidP="00F43172">
      <w:pPr>
        <w:spacing w:line="360" w:lineRule="auto"/>
        <w:jc w:val="center"/>
        <w:rPr>
          <w:rFonts w:ascii="Arial" w:eastAsia="Calibri" w:hAnsi="Arial" w:cs="Arial"/>
          <w:b/>
          <w:bCs/>
          <w:sz w:val="26"/>
          <w:szCs w:val="26"/>
        </w:rPr>
      </w:pPr>
      <w:r w:rsidRPr="00866FC7">
        <w:rPr>
          <w:rFonts w:ascii="Arial" w:eastAsia="Calibri" w:hAnsi="Arial" w:cs="Arial"/>
          <w:b/>
          <w:bCs/>
          <w:sz w:val="26"/>
          <w:szCs w:val="26"/>
        </w:rPr>
        <w:t>R E S U L T A N D O</w:t>
      </w:r>
      <w:r w:rsidR="00FF4323">
        <w:rPr>
          <w:rFonts w:ascii="Arial" w:eastAsia="Calibri" w:hAnsi="Arial" w:cs="Arial"/>
          <w:b/>
          <w:bCs/>
          <w:sz w:val="26"/>
          <w:szCs w:val="26"/>
        </w:rPr>
        <w:t>:</w:t>
      </w:r>
    </w:p>
    <w:p w14:paraId="1497ABFD" w14:textId="6279EFAC" w:rsidR="00DD3DBF" w:rsidRDefault="0087542B" w:rsidP="0087542B">
      <w:pPr>
        <w:spacing w:line="360" w:lineRule="auto"/>
        <w:ind w:firstLine="709"/>
        <w:jc w:val="both"/>
        <w:rPr>
          <w:rFonts w:ascii="Arial" w:eastAsia="Calibri" w:hAnsi="Arial" w:cs="Arial"/>
          <w:sz w:val="26"/>
          <w:szCs w:val="26"/>
        </w:rPr>
      </w:pPr>
      <w:r w:rsidRPr="00866FC7">
        <w:rPr>
          <w:rFonts w:ascii="Arial" w:eastAsia="Calibri" w:hAnsi="Arial" w:cs="Arial"/>
          <w:b/>
          <w:bCs/>
          <w:sz w:val="26"/>
          <w:szCs w:val="26"/>
        </w:rPr>
        <w:t xml:space="preserve">PRIMERO. </w:t>
      </w:r>
      <w:r>
        <w:rPr>
          <w:rFonts w:ascii="Arial" w:eastAsia="Calibri" w:hAnsi="Arial" w:cs="Arial"/>
          <w:sz w:val="26"/>
          <w:szCs w:val="26"/>
        </w:rPr>
        <w:t xml:space="preserve">Inconforme con la </w:t>
      </w:r>
      <w:r w:rsidR="004E2127">
        <w:rPr>
          <w:rFonts w:ascii="Arial" w:eastAsia="Calibri" w:hAnsi="Arial" w:cs="Arial"/>
          <w:sz w:val="26"/>
          <w:szCs w:val="26"/>
        </w:rPr>
        <w:t>sentencia</w:t>
      </w:r>
      <w:r w:rsidR="007F3346">
        <w:rPr>
          <w:rFonts w:ascii="Arial" w:eastAsia="Calibri" w:hAnsi="Arial" w:cs="Arial"/>
          <w:sz w:val="26"/>
          <w:szCs w:val="26"/>
        </w:rPr>
        <w:t xml:space="preserve"> de</w:t>
      </w:r>
      <w:r w:rsidR="008152EF">
        <w:rPr>
          <w:rFonts w:ascii="Arial" w:eastAsia="Calibri" w:hAnsi="Arial" w:cs="Arial"/>
          <w:sz w:val="26"/>
          <w:szCs w:val="26"/>
        </w:rPr>
        <w:t xml:space="preserve"> </w:t>
      </w:r>
      <w:r w:rsidR="004D05D6">
        <w:rPr>
          <w:rFonts w:ascii="Arial" w:eastAsia="Calibri" w:hAnsi="Arial" w:cs="Arial"/>
          <w:sz w:val="26"/>
          <w:szCs w:val="26"/>
        </w:rPr>
        <w:t>12 doce de abril de 2017 dos mil diecisiete</w:t>
      </w:r>
      <w:r>
        <w:rPr>
          <w:rFonts w:ascii="Arial" w:eastAsia="Calibri" w:hAnsi="Arial" w:cs="Arial"/>
          <w:sz w:val="26"/>
          <w:szCs w:val="26"/>
        </w:rPr>
        <w:t xml:space="preserve">, dictado por la </w:t>
      </w:r>
      <w:r w:rsidR="004D05D6">
        <w:rPr>
          <w:rFonts w:ascii="Arial" w:eastAsia="Calibri" w:hAnsi="Arial" w:cs="Arial"/>
          <w:sz w:val="26"/>
          <w:szCs w:val="26"/>
        </w:rPr>
        <w:t xml:space="preserve">Séptima </w:t>
      </w:r>
      <w:r>
        <w:rPr>
          <w:rFonts w:ascii="Arial" w:eastAsia="Calibri" w:hAnsi="Arial" w:cs="Arial"/>
          <w:sz w:val="26"/>
          <w:szCs w:val="26"/>
        </w:rPr>
        <w:t>Sala Unitaria</w:t>
      </w:r>
      <w:r w:rsidR="007F3346">
        <w:rPr>
          <w:rFonts w:ascii="Arial" w:eastAsia="Calibri" w:hAnsi="Arial" w:cs="Arial"/>
          <w:sz w:val="26"/>
          <w:szCs w:val="26"/>
        </w:rPr>
        <w:t xml:space="preserve"> de P</w:t>
      </w:r>
      <w:r>
        <w:rPr>
          <w:rFonts w:ascii="Arial" w:eastAsia="Calibri" w:hAnsi="Arial" w:cs="Arial"/>
          <w:sz w:val="26"/>
          <w:szCs w:val="26"/>
        </w:rPr>
        <w:t xml:space="preserve">rimera </w:t>
      </w:r>
      <w:r w:rsidR="007F3346">
        <w:rPr>
          <w:rFonts w:ascii="Arial" w:eastAsia="Calibri" w:hAnsi="Arial" w:cs="Arial"/>
          <w:sz w:val="26"/>
          <w:szCs w:val="26"/>
        </w:rPr>
        <w:t>I</w:t>
      </w:r>
      <w:r>
        <w:rPr>
          <w:rFonts w:ascii="Arial" w:eastAsia="Calibri" w:hAnsi="Arial" w:cs="Arial"/>
          <w:sz w:val="26"/>
          <w:szCs w:val="26"/>
        </w:rPr>
        <w:t>nstancia,</w:t>
      </w:r>
      <w:r w:rsidR="00F43172">
        <w:rPr>
          <w:rFonts w:ascii="Arial" w:hAnsi="Arial" w:cs="Arial"/>
          <w:b/>
          <w:sz w:val="26"/>
          <w:szCs w:val="26"/>
        </w:rPr>
        <w:t xml:space="preserve"> </w:t>
      </w:r>
      <w:r w:rsidR="001720D6">
        <w:rPr>
          <w:rFonts w:ascii="Arial" w:hAnsi="Arial" w:cs="Arial"/>
          <w:b/>
          <w:sz w:val="26"/>
          <w:szCs w:val="26"/>
        </w:rPr>
        <w:t>EL DIRECTOR GENERAL DE LA OFICINA DE PENSIONES DEL ESTADO DE OAXACA</w:t>
      </w:r>
      <w:r w:rsidR="001720D6" w:rsidRPr="00866FC7">
        <w:rPr>
          <w:rFonts w:ascii="Arial" w:hAnsi="Arial" w:cs="Arial"/>
          <w:b/>
          <w:sz w:val="26"/>
          <w:szCs w:val="26"/>
        </w:rPr>
        <w:t>,</w:t>
      </w:r>
      <w:r>
        <w:rPr>
          <w:rFonts w:ascii="Arial" w:eastAsia="Calibri" w:hAnsi="Arial" w:cs="Arial"/>
          <w:sz w:val="26"/>
          <w:szCs w:val="26"/>
        </w:rPr>
        <w:t xml:space="preserve"> interpuso en su contra recurso de revisión. </w:t>
      </w:r>
    </w:p>
    <w:p w14:paraId="01C8FEF5" w14:textId="77777777" w:rsidR="00D05C72" w:rsidRDefault="00D05C72" w:rsidP="0087542B">
      <w:pPr>
        <w:spacing w:line="360" w:lineRule="auto"/>
        <w:ind w:firstLine="709"/>
        <w:jc w:val="both"/>
        <w:rPr>
          <w:rFonts w:ascii="Arial" w:eastAsia="Calibri" w:hAnsi="Arial" w:cs="Arial"/>
          <w:sz w:val="26"/>
          <w:szCs w:val="26"/>
        </w:rPr>
      </w:pPr>
    </w:p>
    <w:p w14:paraId="16E9AFE2" w14:textId="0475C312" w:rsidR="00D05C72" w:rsidRDefault="00D05C72" w:rsidP="00D05C72">
      <w:pPr>
        <w:spacing w:line="360" w:lineRule="auto"/>
        <w:jc w:val="both"/>
        <w:rPr>
          <w:rFonts w:ascii="Arial" w:hAnsi="Arial" w:cs="Arial"/>
          <w:sz w:val="26"/>
          <w:szCs w:val="26"/>
        </w:rPr>
      </w:pPr>
      <w:r>
        <w:rPr>
          <w:rFonts w:ascii="Arial" w:eastAsia="Calibri" w:hAnsi="Arial" w:cs="Arial"/>
          <w:sz w:val="26"/>
          <w:szCs w:val="26"/>
        </w:rPr>
        <w:t xml:space="preserve">         </w:t>
      </w:r>
      <w:r w:rsidR="0087542B">
        <w:rPr>
          <w:rFonts w:ascii="Arial" w:eastAsia="Calibri" w:hAnsi="Arial" w:cs="Arial"/>
          <w:sz w:val="26"/>
          <w:szCs w:val="26"/>
        </w:rPr>
        <w:t xml:space="preserve"> </w:t>
      </w:r>
      <w:r w:rsidRPr="00E57CA4">
        <w:rPr>
          <w:rFonts w:ascii="Arial" w:hAnsi="Arial" w:cs="Arial"/>
          <w:b/>
          <w:bCs/>
          <w:sz w:val="26"/>
          <w:szCs w:val="26"/>
        </w:rPr>
        <w:t xml:space="preserve">SEGUNDO.- </w:t>
      </w:r>
      <w:r w:rsidRPr="00E57CA4">
        <w:rPr>
          <w:rFonts w:ascii="Arial" w:hAnsi="Arial" w:cs="Arial"/>
          <w:sz w:val="26"/>
          <w:szCs w:val="26"/>
        </w:rPr>
        <w:t xml:space="preserve">Los puntos resolutivos de la </w:t>
      </w:r>
      <w:r>
        <w:rPr>
          <w:rFonts w:ascii="Arial" w:hAnsi="Arial" w:cs="Arial"/>
          <w:sz w:val="26"/>
          <w:szCs w:val="26"/>
        </w:rPr>
        <w:t>sentencia</w:t>
      </w:r>
      <w:r w:rsidRPr="00E57CA4">
        <w:rPr>
          <w:rFonts w:ascii="Arial" w:hAnsi="Arial" w:cs="Arial"/>
          <w:sz w:val="26"/>
          <w:szCs w:val="26"/>
        </w:rPr>
        <w:t xml:space="preserve"> recurrida son los siguientes:</w:t>
      </w:r>
    </w:p>
    <w:p w14:paraId="7AE3ADF6" w14:textId="77777777" w:rsidR="00A012FC" w:rsidRPr="00E57CA4" w:rsidRDefault="00A012FC" w:rsidP="00D05C72">
      <w:pPr>
        <w:spacing w:line="360" w:lineRule="auto"/>
        <w:jc w:val="both"/>
        <w:rPr>
          <w:rFonts w:ascii="Arial" w:hAnsi="Arial" w:cs="Arial"/>
          <w:sz w:val="26"/>
          <w:szCs w:val="26"/>
        </w:rPr>
      </w:pPr>
    </w:p>
    <w:p w14:paraId="0B95BF44" w14:textId="2C15184F" w:rsidR="00A012FC" w:rsidRDefault="00D05C72" w:rsidP="00A012FC">
      <w:pPr>
        <w:widowControl w:val="0"/>
        <w:tabs>
          <w:tab w:val="left" w:pos="8080"/>
        </w:tabs>
        <w:spacing w:line="360" w:lineRule="auto"/>
        <w:ind w:left="993" w:right="191"/>
        <w:jc w:val="both"/>
        <w:rPr>
          <w:rFonts w:ascii="Arial" w:eastAsia="Times New Roman" w:hAnsi="Arial" w:cs="Arial"/>
          <w:bCs/>
          <w:iCs/>
          <w:lang w:val="es-ES" w:eastAsia="es-ES"/>
        </w:rPr>
      </w:pPr>
      <w:r w:rsidRPr="004309A3">
        <w:rPr>
          <w:rFonts w:ascii="Arial" w:eastAsia="Times New Roman" w:hAnsi="Arial" w:cs="Arial"/>
          <w:b/>
          <w:bCs/>
          <w:iCs/>
          <w:lang w:val="es-ES" w:eastAsia="es-ES"/>
        </w:rPr>
        <w:t xml:space="preserve">“PRIMERO. </w:t>
      </w:r>
      <w:r w:rsidR="00D91FC1">
        <w:rPr>
          <w:rFonts w:ascii="Arial" w:eastAsia="Times New Roman" w:hAnsi="Arial" w:cs="Arial"/>
          <w:bCs/>
          <w:iCs/>
          <w:lang w:val="es-ES" w:eastAsia="es-ES"/>
        </w:rPr>
        <w:t xml:space="preserve">Esta </w:t>
      </w:r>
      <w:r w:rsidR="005F5963">
        <w:rPr>
          <w:rFonts w:ascii="Arial" w:eastAsia="Times New Roman" w:hAnsi="Arial" w:cs="Arial"/>
          <w:bCs/>
          <w:iCs/>
          <w:lang w:val="es-ES" w:eastAsia="es-ES"/>
        </w:rPr>
        <w:t>Séptima</w:t>
      </w:r>
      <w:r w:rsidR="00D91FC1">
        <w:rPr>
          <w:rFonts w:ascii="Arial" w:eastAsia="Times New Roman" w:hAnsi="Arial" w:cs="Arial"/>
          <w:bCs/>
          <w:iCs/>
          <w:lang w:val="es-ES" w:eastAsia="es-ES"/>
        </w:rPr>
        <w:t xml:space="preserve"> Sala de Prime</w:t>
      </w:r>
      <w:r w:rsidR="005F5963">
        <w:rPr>
          <w:rFonts w:ascii="Arial" w:eastAsia="Times New Roman" w:hAnsi="Arial" w:cs="Arial"/>
          <w:bCs/>
          <w:iCs/>
          <w:lang w:val="es-ES" w:eastAsia="es-ES"/>
        </w:rPr>
        <w:t>ra Instancia del T</w:t>
      </w:r>
      <w:r w:rsidR="00D91FC1">
        <w:rPr>
          <w:rFonts w:ascii="Arial" w:eastAsia="Times New Roman" w:hAnsi="Arial" w:cs="Arial"/>
          <w:bCs/>
          <w:iCs/>
          <w:lang w:val="es-ES" w:eastAsia="es-ES"/>
        </w:rPr>
        <w:t xml:space="preserve">ribunal de </w:t>
      </w:r>
      <w:r w:rsidR="005F5963">
        <w:rPr>
          <w:rFonts w:ascii="Arial" w:eastAsia="Times New Roman" w:hAnsi="Arial" w:cs="Arial"/>
          <w:bCs/>
          <w:iCs/>
          <w:lang w:val="es-ES" w:eastAsia="es-ES"/>
        </w:rPr>
        <w:t>justifica</w:t>
      </w:r>
      <w:r w:rsidR="00D91FC1">
        <w:rPr>
          <w:rFonts w:ascii="Arial" w:eastAsia="Times New Roman" w:hAnsi="Arial" w:cs="Arial"/>
          <w:bCs/>
          <w:iCs/>
          <w:lang w:val="es-ES" w:eastAsia="es-ES"/>
        </w:rPr>
        <w:t xml:space="preserve"> administrativa del estado de Oaxaca, es legalmente competente para conocer y resolver del presente </w:t>
      </w:r>
      <w:r w:rsidR="005F5963">
        <w:rPr>
          <w:rFonts w:ascii="Arial" w:eastAsia="Times New Roman" w:hAnsi="Arial" w:cs="Arial"/>
          <w:bCs/>
          <w:iCs/>
          <w:lang w:val="es-ES" w:eastAsia="es-ES"/>
        </w:rPr>
        <w:t>juicio</w:t>
      </w:r>
      <w:r w:rsidR="00D91FC1">
        <w:rPr>
          <w:rFonts w:ascii="Arial" w:eastAsia="Times New Roman" w:hAnsi="Arial" w:cs="Arial"/>
          <w:bCs/>
          <w:iCs/>
          <w:lang w:val="es-ES" w:eastAsia="es-ES"/>
        </w:rPr>
        <w:t xml:space="preserve"> de nulidad.</w:t>
      </w:r>
    </w:p>
    <w:p w14:paraId="18598E03" w14:textId="77777777" w:rsidR="00D91FC1" w:rsidRPr="004309A3" w:rsidRDefault="00D91FC1" w:rsidP="00A012FC">
      <w:pPr>
        <w:widowControl w:val="0"/>
        <w:tabs>
          <w:tab w:val="left" w:pos="8080"/>
        </w:tabs>
        <w:spacing w:line="360" w:lineRule="auto"/>
        <w:ind w:left="993" w:right="191"/>
        <w:jc w:val="both"/>
        <w:rPr>
          <w:rFonts w:ascii="Arial" w:eastAsia="Times New Roman" w:hAnsi="Arial" w:cs="Arial"/>
          <w:bCs/>
          <w:iCs/>
          <w:lang w:val="es-ES" w:eastAsia="es-ES"/>
        </w:rPr>
      </w:pPr>
    </w:p>
    <w:p w14:paraId="217100FA" w14:textId="2BA89D23" w:rsidR="00A012FC" w:rsidRPr="004309A3" w:rsidRDefault="00D05C72" w:rsidP="00A012FC">
      <w:pPr>
        <w:widowControl w:val="0"/>
        <w:tabs>
          <w:tab w:val="left" w:pos="8080"/>
        </w:tabs>
        <w:spacing w:line="360" w:lineRule="auto"/>
        <w:ind w:left="993" w:right="191"/>
        <w:jc w:val="both"/>
        <w:rPr>
          <w:rFonts w:ascii="Arial" w:eastAsia="Times New Roman" w:hAnsi="Arial" w:cs="Arial"/>
          <w:bCs/>
          <w:iCs/>
          <w:lang w:val="es-ES" w:eastAsia="es-ES"/>
        </w:rPr>
      </w:pPr>
      <w:r w:rsidRPr="004309A3">
        <w:rPr>
          <w:rFonts w:ascii="Arial" w:eastAsia="Times New Roman" w:hAnsi="Arial" w:cs="Arial"/>
          <w:b/>
          <w:bCs/>
          <w:iCs/>
          <w:lang w:val="es-ES" w:eastAsia="es-ES"/>
        </w:rPr>
        <w:t xml:space="preserve">SEGUNDO. </w:t>
      </w:r>
      <w:r w:rsidR="005F5963">
        <w:rPr>
          <w:rFonts w:ascii="Arial" w:eastAsia="Times New Roman" w:hAnsi="Arial" w:cs="Arial"/>
          <w:bCs/>
          <w:iCs/>
          <w:lang w:val="es-ES" w:eastAsia="es-ES"/>
        </w:rPr>
        <w:t xml:space="preserve">No se actualiza causal de improcedencia alguna, por lo que NO SE SOBRESEE EL JUICIO, en términos del considerando QUINTO de esta resolución. </w:t>
      </w:r>
    </w:p>
    <w:p w14:paraId="22C0F9D2" w14:textId="77777777" w:rsidR="00A012FC" w:rsidRPr="004309A3" w:rsidRDefault="00A012FC" w:rsidP="00A012FC">
      <w:pPr>
        <w:widowControl w:val="0"/>
        <w:tabs>
          <w:tab w:val="left" w:pos="8080"/>
        </w:tabs>
        <w:spacing w:line="360" w:lineRule="auto"/>
        <w:ind w:left="993" w:right="191"/>
        <w:jc w:val="both"/>
        <w:rPr>
          <w:rFonts w:ascii="Arial" w:eastAsia="Times New Roman" w:hAnsi="Arial" w:cs="Arial"/>
          <w:bCs/>
          <w:iCs/>
          <w:lang w:val="es-ES" w:eastAsia="es-ES"/>
        </w:rPr>
      </w:pPr>
    </w:p>
    <w:p w14:paraId="1E0D3165" w14:textId="1B1E031B" w:rsidR="00D05C72" w:rsidRPr="004309A3" w:rsidRDefault="00D05C72" w:rsidP="00A012FC">
      <w:pPr>
        <w:widowControl w:val="0"/>
        <w:tabs>
          <w:tab w:val="left" w:pos="8080"/>
        </w:tabs>
        <w:spacing w:line="360" w:lineRule="auto"/>
        <w:ind w:left="993" w:right="191"/>
        <w:jc w:val="both"/>
        <w:rPr>
          <w:rFonts w:ascii="Arial" w:eastAsia="Times New Roman" w:hAnsi="Arial" w:cs="Arial"/>
          <w:bCs/>
          <w:iCs/>
          <w:lang w:val="es-ES" w:eastAsia="es-ES"/>
        </w:rPr>
      </w:pPr>
      <w:r w:rsidRPr="004309A3">
        <w:rPr>
          <w:rFonts w:ascii="Arial" w:eastAsia="Times New Roman" w:hAnsi="Arial" w:cs="Arial"/>
          <w:bCs/>
          <w:iCs/>
          <w:lang w:val="es-ES" w:eastAsia="es-ES"/>
        </w:rPr>
        <w:t xml:space="preserve"> </w:t>
      </w:r>
      <w:r w:rsidRPr="004309A3">
        <w:rPr>
          <w:rFonts w:ascii="Arial" w:eastAsia="Times New Roman" w:hAnsi="Arial" w:cs="Arial"/>
          <w:b/>
          <w:bCs/>
          <w:iCs/>
          <w:lang w:val="es-ES" w:eastAsia="es-ES"/>
        </w:rPr>
        <w:t>TERCERO.</w:t>
      </w:r>
      <w:r w:rsidR="00A012FC" w:rsidRPr="004309A3">
        <w:rPr>
          <w:rFonts w:ascii="Arial" w:eastAsia="Times New Roman" w:hAnsi="Arial" w:cs="Arial"/>
          <w:bCs/>
          <w:iCs/>
          <w:lang w:val="es-ES" w:eastAsia="es-ES"/>
        </w:rPr>
        <w:t xml:space="preserve"> </w:t>
      </w:r>
      <w:r w:rsidR="005F5963">
        <w:rPr>
          <w:rFonts w:ascii="Arial" w:eastAsia="Times New Roman" w:hAnsi="Arial" w:cs="Arial"/>
          <w:bCs/>
          <w:iCs/>
          <w:lang w:val="es-ES" w:eastAsia="es-ES"/>
        </w:rPr>
        <w:t xml:space="preserve">Se declara la Nulidad de la resolución emitida por los integrantes del Consejo Directivo de Pensiones, contenida en el oficio OP/DG/2458/2017, ambos de fecha tres de octubre de dos mil diecisiete (30/10/2017), para efectos, de que las autoridades demandadas, emitan un nuevo dictamen de pensión, en el que otorguen pensión por jubilación al C. </w:t>
      </w:r>
      <w:r w:rsidR="00703F06">
        <w:rPr>
          <w:rFonts w:ascii="Arial" w:eastAsia="Times New Roman" w:hAnsi="Arial" w:cs="Arial"/>
          <w:bCs/>
          <w:iCs/>
          <w:lang w:val="es-ES" w:eastAsia="es-ES"/>
        </w:rPr>
        <w:t>**********</w:t>
      </w:r>
      <w:r w:rsidR="005F5963">
        <w:rPr>
          <w:rFonts w:ascii="Arial" w:eastAsia="Times New Roman" w:hAnsi="Arial" w:cs="Arial"/>
          <w:bCs/>
          <w:iCs/>
          <w:lang w:val="es-ES" w:eastAsia="es-ES"/>
        </w:rPr>
        <w:t xml:space="preserve">, con un monto del 100% de su sueldo y se abstenga de restar o retener monto alguno que deba estimarse al fondo de pensiones (9%) lo anterior en términos precisados en el considerando Sexto de esta resolución. - - - - - - - - - - - </w:t>
      </w:r>
    </w:p>
    <w:p w14:paraId="154F9FB6" w14:textId="415BC22F" w:rsidR="00D05C72" w:rsidRPr="004309A3" w:rsidRDefault="00D05C72" w:rsidP="00DA028D">
      <w:pPr>
        <w:widowControl w:val="0"/>
        <w:tabs>
          <w:tab w:val="left" w:pos="7938"/>
        </w:tabs>
        <w:spacing w:line="360" w:lineRule="auto"/>
        <w:ind w:left="1134" w:right="333"/>
        <w:jc w:val="both"/>
        <w:rPr>
          <w:rFonts w:ascii="Arial" w:eastAsia="Times New Roman" w:hAnsi="Arial" w:cs="Arial"/>
          <w:bCs/>
          <w:iCs/>
          <w:lang w:val="es-ES" w:eastAsia="es-ES"/>
        </w:rPr>
      </w:pPr>
    </w:p>
    <w:p w14:paraId="7B2CB453" w14:textId="2FACE988" w:rsidR="00D05C72" w:rsidRPr="004309A3" w:rsidRDefault="005F5963" w:rsidP="00EC71E5">
      <w:pPr>
        <w:widowControl w:val="0"/>
        <w:tabs>
          <w:tab w:val="left" w:pos="7938"/>
        </w:tabs>
        <w:spacing w:line="360" w:lineRule="auto"/>
        <w:ind w:left="993" w:right="333"/>
        <w:jc w:val="both"/>
        <w:rPr>
          <w:rFonts w:ascii="Arial" w:eastAsia="Times New Roman" w:hAnsi="Arial" w:cs="Arial"/>
          <w:bCs/>
          <w:iCs/>
          <w:lang w:val="es-ES" w:eastAsia="es-ES"/>
        </w:rPr>
      </w:pPr>
      <w:r>
        <w:rPr>
          <w:rFonts w:ascii="Arial" w:eastAsia="Times New Roman" w:hAnsi="Arial" w:cs="Arial"/>
          <w:b/>
          <w:bCs/>
          <w:iCs/>
          <w:lang w:val="es-ES" w:eastAsia="es-ES"/>
        </w:rPr>
        <w:t xml:space="preserve">CUARTO.- </w:t>
      </w:r>
      <w:r w:rsidR="00D05C72" w:rsidRPr="004309A3">
        <w:rPr>
          <w:rFonts w:ascii="Arial" w:eastAsia="Times New Roman" w:hAnsi="Arial" w:cs="Arial"/>
          <w:b/>
          <w:bCs/>
          <w:iCs/>
          <w:lang w:val="es-ES" w:eastAsia="es-ES"/>
        </w:rPr>
        <w:t xml:space="preserve"> </w:t>
      </w:r>
      <w:r w:rsidR="00D05C72" w:rsidRPr="004309A3">
        <w:rPr>
          <w:rFonts w:ascii="Arial" w:eastAsia="Times New Roman" w:hAnsi="Arial" w:cs="Arial"/>
          <w:bCs/>
          <w:iCs/>
          <w:lang w:val="es-ES" w:eastAsia="es-ES"/>
        </w:rPr>
        <w:t xml:space="preserve">Conforme a lo dispuesto en los artículos 142 </w:t>
      </w:r>
      <w:proofErr w:type="gramStart"/>
      <w:r w:rsidR="00D05C72" w:rsidRPr="004309A3">
        <w:rPr>
          <w:rFonts w:ascii="Arial" w:eastAsia="Times New Roman" w:hAnsi="Arial" w:cs="Arial"/>
          <w:bCs/>
          <w:iCs/>
          <w:lang w:val="es-ES" w:eastAsia="es-ES"/>
        </w:rPr>
        <w:t>fracción</w:t>
      </w:r>
      <w:proofErr w:type="gramEnd"/>
      <w:r w:rsidR="00D05C72" w:rsidRPr="004309A3">
        <w:rPr>
          <w:rFonts w:ascii="Arial" w:eastAsia="Times New Roman" w:hAnsi="Arial" w:cs="Arial"/>
          <w:bCs/>
          <w:iCs/>
          <w:lang w:val="es-ES" w:eastAsia="es-ES"/>
        </w:rPr>
        <w:t xml:space="preserve"> I, y 143, fracciones I y II de la Ley de Justicia Administrativa para el Estado, </w:t>
      </w:r>
      <w:r w:rsidR="00D05C72" w:rsidRPr="004309A3">
        <w:rPr>
          <w:rFonts w:ascii="Arial" w:eastAsia="Times New Roman" w:hAnsi="Arial" w:cs="Arial"/>
          <w:b/>
          <w:bCs/>
          <w:iCs/>
          <w:lang w:val="es-ES" w:eastAsia="es-ES"/>
        </w:rPr>
        <w:t>NOTIFÍQUESE PERSONALMENTE A LA PARTE ACTORA Y POR OFICIO A LAS AUTORIDADES DEMANDADAS. CÚMPLASE”</w:t>
      </w:r>
    </w:p>
    <w:p w14:paraId="0F454C16" w14:textId="588BAA1E" w:rsidR="0087542B" w:rsidRPr="00BF1B8B" w:rsidRDefault="00D05C72" w:rsidP="00BF1B8B">
      <w:pPr>
        <w:widowControl w:val="0"/>
        <w:tabs>
          <w:tab w:val="left" w:pos="2835"/>
          <w:tab w:val="left" w:pos="7938"/>
        </w:tabs>
        <w:spacing w:line="360" w:lineRule="auto"/>
        <w:ind w:left="1134" w:right="17"/>
        <w:jc w:val="both"/>
        <w:rPr>
          <w:rFonts w:ascii="Arial" w:eastAsia="Times New Roman" w:hAnsi="Arial" w:cs="Arial"/>
          <w:bCs/>
          <w:iCs/>
          <w:lang w:val="es-ES" w:eastAsia="es-ES"/>
        </w:rPr>
      </w:pPr>
      <w:r w:rsidRPr="00E57CA4">
        <w:rPr>
          <w:rFonts w:ascii="Arial" w:eastAsia="Times New Roman" w:hAnsi="Arial" w:cs="Arial"/>
          <w:bCs/>
          <w:iCs/>
          <w:lang w:val="es-ES" w:eastAsia="es-ES"/>
        </w:rPr>
        <w:t xml:space="preserve">            </w:t>
      </w:r>
    </w:p>
    <w:p w14:paraId="396921AC" w14:textId="7E513FAB" w:rsidR="00D05C72" w:rsidRDefault="00D874EF" w:rsidP="0087542B">
      <w:pPr>
        <w:spacing w:line="360" w:lineRule="auto"/>
        <w:ind w:firstLine="709"/>
        <w:jc w:val="both"/>
        <w:rPr>
          <w:rFonts w:ascii="Arial" w:eastAsia="Calibri" w:hAnsi="Arial" w:cs="Arial"/>
          <w:sz w:val="26"/>
          <w:szCs w:val="26"/>
        </w:rPr>
      </w:pPr>
      <w:r>
        <w:rPr>
          <w:rFonts w:ascii="Arial" w:eastAsia="Times New Roman" w:hAnsi="Arial" w:cs="Arial"/>
          <w:b/>
          <w:bCs/>
          <w:iCs/>
          <w:lang w:val="es-ES" w:eastAsia="es-ES"/>
        </w:rPr>
        <w:t xml:space="preserve">                                          </w:t>
      </w:r>
      <w:r w:rsidR="009E22A6" w:rsidRPr="00E57CA4">
        <w:rPr>
          <w:rFonts w:ascii="Arial" w:eastAsia="Times New Roman" w:hAnsi="Arial" w:cs="Arial"/>
          <w:b/>
          <w:bCs/>
          <w:iCs/>
          <w:lang w:val="es-ES" w:eastAsia="es-ES"/>
        </w:rPr>
        <w:t xml:space="preserve">  </w:t>
      </w:r>
      <w:r w:rsidR="009E22A6" w:rsidRPr="00E57CA4">
        <w:rPr>
          <w:rFonts w:ascii="Arial" w:eastAsia="Times New Roman" w:hAnsi="Arial" w:cs="Arial"/>
          <w:b/>
          <w:bCs/>
          <w:sz w:val="26"/>
          <w:szCs w:val="26"/>
          <w:lang w:eastAsia="es-ES"/>
        </w:rPr>
        <w:t>C O N S I D E R A N D O</w:t>
      </w:r>
      <w:r>
        <w:rPr>
          <w:rFonts w:ascii="Arial" w:eastAsia="Times New Roman" w:hAnsi="Arial" w:cs="Arial"/>
          <w:b/>
          <w:bCs/>
          <w:sz w:val="26"/>
          <w:szCs w:val="26"/>
          <w:lang w:eastAsia="es-ES"/>
        </w:rPr>
        <w:t>:</w:t>
      </w:r>
    </w:p>
    <w:p w14:paraId="15E368A2" w14:textId="1190B807" w:rsidR="007C4404" w:rsidRPr="00866FC7" w:rsidRDefault="007C4404" w:rsidP="004A650B">
      <w:pPr>
        <w:widowControl w:val="0"/>
        <w:tabs>
          <w:tab w:val="left" w:pos="2835"/>
          <w:tab w:val="left" w:pos="7938"/>
        </w:tabs>
        <w:spacing w:line="360" w:lineRule="auto"/>
        <w:ind w:right="17"/>
        <w:rPr>
          <w:rFonts w:ascii="Arial" w:eastAsia="Times New Roman" w:hAnsi="Arial" w:cs="Arial"/>
          <w:bCs/>
          <w:iCs/>
          <w:lang w:eastAsia="es-ES"/>
        </w:rPr>
      </w:pPr>
    </w:p>
    <w:p w14:paraId="5031CC4B" w14:textId="614A6EC4" w:rsidR="007C4404" w:rsidRPr="00973936" w:rsidRDefault="004A650B" w:rsidP="007C4404">
      <w:pPr>
        <w:spacing w:line="360" w:lineRule="auto"/>
        <w:jc w:val="both"/>
        <w:rPr>
          <w:rFonts w:ascii="Arial" w:hAnsi="Arial" w:cs="Arial"/>
          <w:sz w:val="26"/>
          <w:szCs w:val="26"/>
        </w:rPr>
      </w:pPr>
      <w:r>
        <w:rPr>
          <w:rFonts w:ascii="Arial" w:hAnsi="Arial" w:cs="Arial"/>
          <w:b/>
          <w:bCs/>
          <w:iCs/>
          <w:sz w:val="26"/>
          <w:szCs w:val="26"/>
          <w:lang w:eastAsia="es-ES"/>
        </w:rPr>
        <w:tab/>
      </w:r>
      <w:r w:rsidR="007C4404">
        <w:rPr>
          <w:rFonts w:ascii="Arial" w:hAnsi="Arial" w:cs="Arial"/>
          <w:b/>
          <w:bCs/>
          <w:iCs/>
          <w:sz w:val="26"/>
          <w:szCs w:val="26"/>
          <w:lang w:eastAsia="es-ES"/>
        </w:rPr>
        <w:t>PRIMERO</w:t>
      </w:r>
      <w:r w:rsidR="00BF1B8B">
        <w:rPr>
          <w:rFonts w:ascii="Arial" w:hAnsi="Arial" w:cs="Arial"/>
          <w:b/>
          <w:bCs/>
          <w:iCs/>
          <w:sz w:val="26"/>
          <w:szCs w:val="26"/>
        </w:rPr>
        <w:t xml:space="preserve">. </w:t>
      </w:r>
      <w:r w:rsidR="00BF1B8B" w:rsidRPr="006F2514">
        <w:rPr>
          <w:rFonts w:ascii="Arial" w:hAnsi="Arial" w:cs="Arial"/>
          <w:bCs/>
          <w:iCs/>
          <w:sz w:val="26"/>
          <w:szCs w:val="26"/>
          <w:lang w:eastAsia="es-ES"/>
        </w:rPr>
        <w:t>Esta Sala Superior es competente para conocer del presente asunto, de conformidad con lo dispuesto por los artículos 114 Quáter de la Constitución Política del Estado Libre y Soberano de Oaxaca; 1, 118, 119, 120, 125, 129 y 130 fracción I de la Ley de Procedimiento y Justicia Administr</w:t>
      </w:r>
      <w:r w:rsidR="00BF1B8B">
        <w:rPr>
          <w:rFonts w:ascii="Arial" w:hAnsi="Arial" w:cs="Arial"/>
          <w:bCs/>
          <w:iCs/>
          <w:sz w:val="26"/>
          <w:szCs w:val="26"/>
          <w:lang w:eastAsia="es-ES"/>
        </w:rPr>
        <w:t>ativa para el Estado de Oaxaca,</w:t>
      </w:r>
      <w:r w:rsidR="007C4404">
        <w:rPr>
          <w:rFonts w:ascii="Arial" w:hAnsi="Arial" w:cs="Arial"/>
          <w:bCs/>
          <w:iCs/>
          <w:sz w:val="26"/>
          <w:szCs w:val="26"/>
        </w:rPr>
        <w:t xml:space="preserve"> dado que se trata de un Recurso de Revisión en contra de </w:t>
      </w:r>
      <w:r w:rsidR="007C4404" w:rsidRPr="00866FC7">
        <w:rPr>
          <w:rFonts w:ascii="Arial" w:eastAsia="Times New Roman" w:hAnsi="Arial" w:cs="Arial"/>
          <w:bCs/>
          <w:iCs/>
          <w:sz w:val="26"/>
          <w:szCs w:val="26"/>
          <w:lang w:eastAsia="es-ES"/>
        </w:rPr>
        <w:t xml:space="preserve">la </w:t>
      </w:r>
      <w:r w:rsidR="007C4404">
        <w:rPr>
          <w:rFonts w:ascii="Arial" w:eastAsia="Times New Roman" w:hAnsi="Arial" w:cs="Arial"/>
          <w:bCs/>
          <w:iCs/>
          <w:sz w:val="26"/>
          <w:szCs w:val="26"/>
          <w:lang w:eastAsia="es-ES"/>
        </w:rPr>
        <w:t>sentencia</w:t>
      </w:r>
      <w:r w:rsidR="00BF1B8B">
        <w:rPr>
          <w:rFonts w:ascii="Arial" w:eastAsia="Times New Roman" w:hAnsi="Arial" w:cs="Arial"/>
          <w:bCs/>
          <w:iCs/>
          <w:sz w:val="26"/>
          <w:szCs w:val="26"/>
          <w:lang w:eastAsia="es-ES"/>
        </w:rPr>
        <w:t xml:space="preserve"> </w:t>
      </w:r>
      <w:r w:rsidR="00EC71E5">
        <w:rPr>
          <w:rFonts w:ascii="Arial" w:eastAsia="Times New Roman" w:hAnsi="Arial" w:cs="Arial"/>
          <w:bCs/>
          <w:iCs/>
          <w:sz w:val="26"/>
          <w:szCs w:val="26"/>
          <w:lang w:eastAsia="es-ES"/>
        </w:rPr>
        <w:t>12 doce de abril de 2018 dos mil dieciocho, dictada por la Séptima</w:t>
      </w:r>
      <w:r w:rsidR="007C4404">
        <w:rPr>
          <w:rFonts w:ascii="Arial" w:eastAsia="Times New Roman" w:hAnsi="Arial" w:cs="Arial"/>
          <w:bCs/>
          <w:iCs/>
          <w:sz w:val="26"/>
          <w:szCs w:val="26"/>
          <w:lang w:eastAsia="es-ES"/>
        </w:rPr>
        <w:t xml:space="preserve"> Sala Unitaria de Primera Instancia</w:t>
      </w:r>
      <w:r w:rsidR="007C4404" w:rsidRPr="00866FC7">
        <w:rPr>
          <w:rFonts w:ascii="Arial" w:eastAsia="Times New Roman" w:hAnsi="Arial" w:cs="Arial"/>
          <w:bCs/>
          <w:iCs/>
          <w:sz w:val="26"/>
          <w:szCs w:val="26"/>
          <w:lang w:eastAsia="es-ES"/>
        </w:rPr>
        <w:t xml:space="preserve">, </w:t>
      </w:r>
      <w:r w:rsidR="007C4404">
        <w:rPr>
          <w:rFonts w:ascii="Arial" w:eastAsia="Times New Roman" w:hAnsi="Arial" w:cs="Arial"/>
          <w:bCs/>
          <w:iCs/>
          <w:sz w:val="26"/>
          <w:szCs w:val="26"/>
          <w:lang w:eastAsia="es-ES"/>
        </w:rPr>
        <w:t>en el expediente</w:t>
      </w:r>
      <w:r w:rsidR="007C4404" w:rsidRPr="00866FC7">
        <w:rPr>
          <w:rFonts w:ascii="Arial" w:eastAsia="Times New Roman" w:hAnsi="Arial" w:cs="Arial"/>
          <w:bCs/>
          <w:iCs/>
          <w:sz w:val="26"/>
          <w:szCs w:val="26"/>
          <w:lang w:eastAsia="es-ES"/>
        </w:rPr>
        <w:t xml:space="preserve"> </w:t>
      </w:r>
      <w:r w:rsidR="00172528">
        <w:rPr>
          <w:rFonts w:ascii="Arial" w:eastAsia="Times New Roman" w:hAnsi="Arial" w:cs="Arial"/>
          <w:b/>
          <w:bCs/>
          <w:iCs/>
          <w:sz w:val="26"/>
          <w:szCs w:val="26"/>
          <w:lang w:eastAsia="es-ES"/>
        </w:rPr>
        <w:t>141/2017</w:t>
      </w:r>
      <w:r w:rsidR="00EC71E5">
        <w:rPr>
          <w:rFonts w:ascii="Arial" w:eastAsia="Times New Roman" w:hAnsi="Arial" w:cs="Arial"/>
          <w:b/>
          <w:bCs/>
          <w:iCs/>
          <w:sz w:val="26"/>
          <w:szCs w:val="26"/>
          <w:lang w:eastAsia="es-ES"/>
        </w:rPr>
        <w:t>.</w:t>
      </w:r>
    </w:p>
    <w:p w14:paraId="217730FD" w14:textId="77777777" w:rsidR="007C4404" w:rsidRDefault="007C4404" w:rsidP="007C4404">
      <w:pPr>
        <w:spacing w:before="240" w:line="360" w:lineRule="auto"/>
        <w:ind w:firstLine="708"/>
        <w:jc w:val="both"/>
        <w:rPr>
          <w:rFonts w:ascii="Arial" w:hAnsi="Arial" w:cs="Arial"/>
          <w:sz w:val="26"/>
          <w:szCs w:val="26"/>
        </w:rPr>
      </w:pPr>
      <w:r w:rsidRPr="00866FC7">
        <w:rPr>
          <w:rFonts w:ascii="Arial" w:eastAsia="Calibri" w:hAnsi="Arial" w:cs="Arial"/>
          <w:b/>
          <w:bCs/>
          <w:sz w:val="26"/>
          <w:szCs w:val="26"/>
        </w:rPr>
        <w:t>SEGUNDO.</w:t>
      </w:r>
      <w:r>
        <w:rPr>
          <w:rFonts w:ascii="Arial" w:eastAsia="Calibri" w:hAnsi="Arial" w:cs="Arial"/>
          <w:bCs/>
          <w:sz w:val="26"/>
          <w:szCs w:val="26"/>
        </w:rPr>
        <w:t xml:space="preserve"> </w:t>
      </w:r>
      <w:r w:rsidRPr="00E57CA4">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E57CA4">
        <w:rPr>
          <w:rFonts w:ascii="Arial" w:hAnsi="Arial" w:cs="Arial"/>
          <w:sz w:val="26"/>
          <w:szCs w:val="26"/>
        </w:rPr>
        <w:t>.</w:t>
      </w:r>
    </w:p>
    <w:p w14:paraId="749F2848" w14:textId="77777777" w:rsidR="007C4404" w:rsidRPr="00174609" w:rsidRDefault="007C4404" w:rsidP="007C4404">
      <w:pPr>
        <w:spacing w:line="360" w:lineRule="auto"/>
        <w:ind w:firstLine="567"/>
        <w:jc w:val="both"/>
        <w:rPr>
          <w:rFonts w:ascii="Arial" w:eastAsia="Calibri" w:hAnsi="Arial" w:cs="Arial"/>
          <w:bCs/>
          <w:sz w:val="26"/>
          <w:szCs w:val="26"/>
          <w:lang w:val="es-ES"/>
        </w:rPr>
      </w:pPr>
    </w:p>
    <w:p w14:paraId="420BE097" w14:textId="5CB3D466" w:rsidR="00DC30B7" w:rsidRDefault="007C4404" w:rsidP="00DC30B7">
      <w:pPr>
        <w:spacing w:line="360" w:lineRule="auto"/>
        <w:ind w:firstLine="709"/>
        <w:jc w:val="both"/>
        <w:rPr>
          <w:rFonts w:ascii="Arial" w:hAnsi="Arial" w:cs="Arial"/>
          <w:bCs/>
          <w:sz w:val="26"/>
          <w:szCs w:val="26"/>
        </w:rPr>
      </w:pPr>
      <w:r w:rsidRPr="00E57CA4">
        <w:rPr>
          <w:rFonts w:ascii="Arial" w:hAnsi="Arial" w:cs="Arial"/>
          <w:b/>
          <w:bCs/>
          <w:sz w:val="26"/>
          <w:szCs w:val="26"/>
        </w:rPr>
        <w:t>TERCERO</w:t>
      </w:r>
      <w:r w:rsidR="00EC71E5">
        <w:rPr>
          <w:rFonts w:ascii="Arial" w:hAnsi="Arial" w:cs="Arial"/>
          <w:b/>
          <w:bCs/>
          <w:sz w:val="26"/>
          <w:szCs w:val="26"/>
        </w:rPr>
        <w:t>.</w:t>
      </w:r>
      <w:r w:rsidR="00DC30B7" w:rsidRPr="00DC30B7">
        <w:rPr>
          <w:rFonts w:ascii="Arial" w:hAnsi="Arial" w:cs="Arial"/>
          <w:bCs/>
          <w:sz w:val="26"/>
          <w:szCs w:val="26"/>
        </w:rPr>
        <w:t xml:space="preserve"> </w:t>
      </w:r>
      <w:r w:rsidR="00DC30B7">
        <w:rPr>
          <w:rFonts w:ascii="Arial" w:hAnsi="Arial" w:cs="Arial"/>
          <w:bCs/>
          <w:sz w:val="26"/>
          <w:szCs w:val="26"/>
        </w:rPr>
        <w:t xml:space="preserve">Mediante Acuerdo General AG/TJAO/015/2018 aprobado por el Pleno de la Sala Superior del Tribunal de Justicia Administrativa del Estado de Oaxaca en sesión administrativa de 27 veintisiete de noviembre de 2018 dos mil dieciocho, se autorizó el </w:t>
      </w:r>
      <w:r w:rsidR="00DC30B7">
        <w:rPr>
          <w:rFonts w:ascii="Arial" w:hAnsi="Arial" w:cs="Arial"/>
          <w:bCs/>
          <w:sz w:val="26"/>
          <w:szCs w:val="26"/>
        </w:rPr>
        <w:lastRenderedPageBreak/>
        <w:t>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14:paraId="334DBF26" w14:textId="79E83B32" w:rsidR="00EC71E5" w:rsidRDefault="00DC30B7" w:rsidP="00B9012C">
      <w:pPr>
        <w:pStyle w:val="Sinespaciado"/>
        <w:spacing w:before="240" w:line="360" w:lineRule="auto"/>
        <w:ind w:firstLine="708"/>
        <w:jc w:val="both"/>
        <w:rPr>
          <w:rFonts w:ascii="Arial" w:hAnsi="Arial" w:cs="Arial"/>
          <w:bCs/>
          <w:sz w:val="24"/>
          <w:szCs w:val="24"/>
        </w:rPr>
      </w:pPr>
      <w:r>
        <w:rPr>
          <w:rFonts w:ascii="Arial" w:hAnsi="Arial" w:cs="Arial"/>
          <w:b/>
          <w:bCs/>
          <w:sz w:val="26"/>
          <w:szCs w:val="26"/>
          <w:lang w:val="es-MX"/>
        </w:rPr>
        <w:t>CUARTO.</w:t>
      </w:r>
      <w:r w:rsidR="00EC71E5">
        <w:rPr>
          <w:rFonts w:ascii="Arial" w:hAnsi="Arial" w:cs="Arial"/>
          <w:b/>
          <w:bCs/>
          <w:sz w:val="26"/>
          <w:szCs w:val="26"/>
        </w:rPr>
        <w:t xml:space="preserve"> </w:t>
      </w:r>
      <w:r w:rsidR="00F034AB" w:rsidRPr="001720D6">
        <w:rPr>
          <w:rFonts w:ascii="Arial" w:hAnsi="Arial" w:cs="Arial"/>
          <w:bCs/>
          <w:sz w:val="26"/>
          <w:szCs w:val="26"/>
        </w:rPr>
        <w:t xml:space="preserve">Señala </w:t>
      </w:r>
      <w:r w:rsidR="001720D6">
        <w:rPr>
          <w:rFonts w:ascii="Arial" w:hAnsi="Arial" w:cs="Arial"/>
          <w:bCs/>
          <w:sz w:val="26"/>
          <w:szCs w:val="26"/>
        </w:rPr>
        <w:t>el</w:t>
      </w:r>
      <w:r w:rsidR="00EC71E5" w:rsidRPr="001720D6">
        <w:rPr>
          <w:rFonts w:ascii="Arial" w:hAnsi="Arial" w:cs="Arial"/>
          <w:bCs/>
          <w:sz w:val="26"/>
          <w:szCs w:val="26"/>
        </w:rPr>
        <w:t xml:space="preserve"> re</w:t>
      </w:r>
      <w:r w:rsidR="001720D6">
        <w:rPr>
          <w:rFonts w:ascii="Arial" w:hAnsi="Arial" w:cs="Arial"/>
          <w:bCs/>
          <w:sz w:val="26"/>
          <w:szCs w:val="26"/>
        </w:rPr>
        <w:t xml:space="preserve">currente, que le causa agravios </w:t>
      </w:r>
      <w:r w:rsidR="00EC71E5" w:rsidRPr="001720D6">
        <w:rPr>
          <w:rFonts w:ascii="Arial" w:hAnsi="Arial" w:cs="Arial"/>
          <w:bCs/>
          <w:sz w:val="26"/>
          <w:szCs w:val="26"/>
        </w:rPr>
        <w:t>l</w:t>
      </w:r>
      <w:r w:rsidR="001720D6">
        <w:rPr>
          <w:rFonts w:ascii="Arial" w:hAnsi="Arial" w:cs="Arial"/>
          <w:bCs/>
          <w:sz w:val="26"/>
          <w:szCs w:val="26"/>
        </w:rPr>
        <w:t>a</w:t>
      </w:r>
      <w:r w:rsidR="00EC71E5" w:rsidRPr="001720D6">
        <w:rPr>
          <w:rFonts w:ascii="Arial" w:hAnsi="Arial" w:cs="Arial"/>
          <w:bCs/>
          <w:sz w:val="26"/>
          <w:szCs w:val="26"/>
        </w:rPr>
        <w:t xml:space="preserve"> indebida fundamentación y motivación de la primera instancia</w:t>
      </w:r>
      <w:r w:rsidR="001720D6">
        <w:rPr>
          <w:rFonts w:ascii="Arial" w:hAnsi="Arial" w:cs="Arial"/>
          <w:bCs/>
          <w:sz w:val="26"/>
          <w:szCs w:val="26"/>
        </w:rPr>
        <w:t xml:space="preserve"> al resolver el juicio de nulidad; </w:t>
      </w:r>
      <w:r w:rsidR="00EC71E5" w:rsidRPr="001720D6">
        <w:rPr>
          <w:rFonts w:ascii="Arial" w:hAnsi="Arial" w:cs="Arial"/>
          <w:bCs/>
          <w:sz w:val="26"/>
          <w:szCs w:val="26"/>
        </w:rPr>
        <w:t xml:space="preserve"> al decir </w:t>
      </w:r>
      <w:r w:rsidR="001720D6">
        <w:rPr>
          <w:rFonts w:ascii="Arial" w:hAnsi="Arial" w:cs="Arial"/>
          <w:bCs/>
          <w:sz w:val="26"/>
          <w:szCs w:val="26"/>
        </w:rPr>
        <w:t>que el Consejo Directivo de la Oficina de Pensiones para los Empleados  del G</w:t>
      </w:r>
      <w:r w:rsidR="00EC71E5" w:rsidRPr="001720D6">
        <w:rPr>
          <w:rFonts w:ascii="Arial" w:hAnsi="Arial" w:cs="Arial"/>
          <w:bCs/>
          <w:sz w:val="26"/>
          <w:szCs w:val="26"/>
        </w:rPr>
        <w:t xml:space="preserve">obierno del </w:t>
      </w:r>
      <w:r w:rsidR="001720D6">
        <w:rPr>
          <w:rFonts w:ascii="Arial" w:hAnsi="Arial" w:cs="Arial"/>
          <w:bCs/>
          <w:sz w:val="26"/>
          <w:szCs w:val="26"/>
        </w:rPr>
        <w:t>E</w:t>
      </w:r>
      <w:r w:rsidR="00F034AB" w:rsidRPr="001720D6">
        <w:rPr>
          <w:rFonts w:ascii="Arial" w:hAnsi="Arial" w:cs="Arial"/>
          <w:bCs/>
          <w:sz w:val="26"/>
          <w:szCs w:val="26"/>
        </w:rPr>
        <w:t>stado</w:t>
      </w:r>
      <w:r w:rsidR="00937DF3">
        <w:rPr>
          <w:rFonts w:ascii="Arial" w:hAnsi="Arial" w:cs="Arial"/>
          <w:bCs/>
          <w:sz w:val="26"/>
          <w:szCs w:val="26"/>
        </w:rPr>
        <w:t xml:space="preserve"> de Oaxaca, </w:t>
      </w:r>
      <w:r w:rsidR="00EC71E5" w:rsidRPr="001720D6">
        <w:rPr>
          <w:rFonts w:ascii="Arial" w:hAnsi="Arial" w:cs="Arial"/>
          <w:bCs/>
          <w:sz w:val="26"/>
          <w:szCs w:val="26"/>
        </w:rPr>
        <w:t>real</w:t>
      </w:r>
      <w:r w:rsidR="001720D6">
        <w:rPr>
          <w:rFonts w:ascii="Arial" w:hAnsi="Arial" w:cs="Arial"/>
          <w:bCs/>
          <w:sz w:val="26"/>
          <w:szCs w:val="26"/>
        </w:rPr>
        <w:t>izo</w:t>
      </w:r>
      <w:r w:rsidR="00EC71E5" w:rsidRPr="001720D6">
        <w:rPr>
          <w:rFonts w:ascii="Arial" w:hAnsi="Arial" w:cs="Arial"/>
          <w:bCs/>
          <w:sz w:val="26"/>
          <w:szCs w:val="26"/>
        </w:rPr>
        <w:t xml:space="preserve"> una interpretación equivocada del principio de ir</w:t>
      </w:r>
      <w:r w:rsidR="00937DF3">
        <w:rPr>
          <w:rFonts w:ascii="Arial" w:hAnsi="Arial" w:cs="Arial"/>
          <w:bCs/>
          <w:sz w:val="26"/>
          <w:szCs w:val="26"/>
        </w:rPr>
        <w:t xml:space="preserve">retroactividad de la ley, </w:t>
      </w:r>
      <w:r w:rsidR="00F034AB" w:rsidRPr="001720D6">
        <w:rPr>
          <w:rFonts w:ascii="Arial" w:hAnsi="Arial" w:cs="Arial"/>
          <w:bCs/>
          <w:sz w:val="26"/>
          <w:szCs w:val="26"/>
        </w:rPr>
        <w:t>acompaña</w:t>
      </w:r>
      <w:r w:rsidR="00937DF3">
        <w:rPr>
          <w:rFonts w:ascii="Arial" w:hAnsi="Arial" w:cs="Arial"/>
          <w:bCs/>
          <w:sz w:val="26"/>
          <w:szCs w:val="26"/>
        </w:rPr>
        <w:t>ndo</w:t>
      </w:r>
      <w:r w:rsidR="00F034AB" w:rsidRPr="001720D6">
        <w:rPr>
          <w:rFonts w:ascii="Arial" w:hAnsi="Arial" w:cs="Arial"/>
          <w:bCs/>
          <w:sz w:val="26"/>
          <w:szCs w:val="26"/>
        </w:rPr>
        <w:t xml:space="preserve"> su dicho con el jurisprudencia de </w:t>
      </w:r>
      <w:r w:rsidR="000B5EDF" w:rsidRPr="001720D6">
        <w:rPr>
          <w:rFonts w:ascii="Arial" w:hAnsi="Arial" w:cs="Arial"/>
          <w:bCs/>
          <w:sz w:val="26"/>
          <w:szCs w:val="26"/>
        </w:rPr>
        <w:t>rubro</w:t>
      </w:r>
      <w:r w:rsidR="000B5EDF">
        <w:rPr>
          <w:rFonts w:ascii="Arial" w:hAnsi="Arial" w:cs="Arial"/>
          <w:bCs/>
          <w:sz w:val="26"/>
          <w:szCs w:val="26"/>
        </w:rPr>
        <w:t>:”</w:t>
      </w:r>
      <w:r w:rsidR="000B5EDF" w:rsidRPr="00937DF3">
        <w:rPr>
          <w:rFonts w:ascii="Arial" w:hAnsi="Arial" w:cs="Arial"/>
          <w:b/>
          <w:bCs/>
          <w:sz w:val="24"/>
          <w:szCs w:val="24"/>
        </w:rPr>
        <w:t xml:space="preserve"> PETRÓLEOS</w:t>
      </w:r>
      <w:r w:rsidR="00F034AB" w:rsidRPr="00937DF3">
        <w:rPr>
          <w:rFonts w:ascii="Arial" w:hAnsi="Arial" w:cs="Arial"/>
          <w:b/>
          <w:bCs/>
          <w:sz w:val="24"/>
          <w:szCs w:val="24"/>
        </w:rPr>
        <w:t xml:space="preserve"> MEXICANOS Y ORGANISMOS SUBSIDIARIOS. EL REGLAMENTO DE TRABAJO DE SU PERSONAL DE CONFIANZA APLICABLE PARA EL OTORGAMIENTO DE LA PENSIÓN POR JUBILACIÓN (EDAD Y AÑOS DE SERVICIO), ES EL QUE ESTÉ VIGENTE AL MOMENTO EN QUE EL TRABAJADOR DA POR TERMINADA SU RELACIÓN LABORAL</w:t>
      </w:r>
      <w:r w:rsidR="00F034AB" w:rsidRPr="00F034AB">
        <w:rPr>
          <w:rFonts w:ascii="Arial" w:hAnsi="Arial" w:cs="Arial"/>
          <w:bCs/>
          <w:sz w:val="24"/>
          <w:szCs w:val="24"/>
        </w:rPr>
        <w:t>”</w:t>
      </w:r>
    </w:p>
    <w:p w14:paraId="1A562328" w14:textId="044CDBBE" w:rsidR="00376A08" w:rsidRPr="00172528" w:rsidRDefault="00F034AB" w:rsidP="00937DF3">
      <w:pPr>
        <w:pStyle w:val="Sinespaciado"/>
        <w:spacing w:before="240" w:line="360" w:lineRule="auto"/>
        <w:ind w:firstLine="708"/>
        <w:jc w:val="both"/>
        <w:rPr>
          <w:rFonts w:ascii="Arial" w:hAnsi="Arial" w:cs="Arial"/>
          <w:bCs/>
          <w:sz w:val="26"/>
          <w:szCs w:val="26"/>
        </w:rPr>
      </w:pPr>
      <w:r w:rsidRPr="00172528">
        <w:rPr>
          <w:rFonts w:ascii="Arial" w:hAnsi="Arial" w:cs="Arial"/>
          <w:bCs/>
          <w:sz w:val="26"/>
          <w:szCs w:val="26"/>
        </w:rPr>
        <w:t>Dice el agraviado, q</w:t>
      </w:r>
      <w:r w:rsidR="00937DF3" w:rsidRPr="00172528">
        <w:rPr>
          <w:rFonts w:ascii="Arial" w:hAnsi="Arial" w:cs="Arial"/>
          <w:bCs/>
          <w:sz w:val="26"/>
          <w:szCs w:val="26"/>
        </w:rPr>
        <w:t>ue el artículo 14 de la C</w:t>
      </w:r>
      <w:r w:rsidRPr="00172528">
        <w:rPr>
          <w:rFonts w:ascii="Arial" w:hAnsi="Arial" w:cs="Arial"/>
          <w:bCs/>
          <w:sz w:val="26"/>
          <w:szCs w:val="26"/>
        </w:rPr>
        <w:t xml:space="preserve">onstitución </w:t>
      </w:r>
      <w:r w:rsidR="00937DF3" w:rsidRPr="00172528">
        <w:rPr>
          <w:rFonts w:ascii="Arial" w:hAnsi="Arial" w:cs="Arial"/>
          <w:bCs/>
          <w:sz w:val="26"/>
          <w:szCs w:val="26"/>
        </w:rPr>
        <w:t>Política del Estados Unidos M</w:t>
      </w:r>
      <w:r w:rsidRPr="00172528">
        <w:rPr>
          <w:rFonts w:ascii="Arial" w:hAnsi="Arial" w:cs="Arial"/>
          <w:bCs/>
          <w:sz w:val="26"/>
          <w:szCs w:val="26"/>
        </w:rPr>
        <w:t xml:space="preserve">exicanos se desprende una prohibición expresa a las autoridades, en el sentido de que </w:t>
      </w:r>
      <w:r w:rsidR="00201B85" w:rsidRPr="00172528">
        <w:rPr>
          <w:rFonts w:ascii="Arial" w:hAnsi="Arial" w:cs="Arial"/>
          <w:bCs/>
          <w:sz w:val="26"/>
          <w:szCs w:val="26"/>
        </w:rPr>
        <w:t xml:space="preserve">no debe darse efecto </w:t>
      </w:r>
      <w:r w:rsidR="00685972" w:rsidRPr="00172528">
        <w:rPr>
          <w:rFonts w:ascii="Arial" w:hAnsi="Arial" w:cs="Arial"/>
          <w:bCs/>
          <w:sz w:val="26"/>
          <w:szCs w:val="26"/>
        </w:rPr>
        <w:t>retroactivo</w:t>
      </w:r>
      <w:r w:rsidR="00201B85" w:rsidRPr="00172528">
        <w:rPr>
          <w:rFonts w:ascii="Arial" w:hAnsi="Arial" w:cs="Arial"/>
          <w:bCs/>
          <w:sz w:val="26"/>
          <w:szCs w:val="26"/>
        </w:rPr>
        <w:t xml:space="preserve"> a una ley en perjuicio de persona </w:t>
      </w:r>
      <w:r w:rsidR="00937DF3" w:rsidRPr="00172528">
        <w:rPr>
          <w:rFonts w:ascii="Arial" w:hAnsi="Arial" w:cs="Arial"/>
          <w:bCs/>
          <w:sz w:val="26"/>
          <w:szCs w:val="26"/>
        </w:rPr>
        <w:t>alguna ya que l</w:t>
      </w:r>
      <w:r w:rsidR="00685972" w:rsidRPr="00172528">
        <w:rPr>
          <w:rFonts w:ascii="Arial" w:hAnsi="Arial" w:cs="Arial"/>
          <w:bCs/>
          <w:sz w:val="26"/>
          <w:szCs w:val="26"/>
        </w:rPr>
        <w:t>a</w:t>
      </w:r>
      <w:r w:rsidR="00201B85" w:rsidRPr="00172528">
        <w:rPr>
          <w:rFonts w:ascii="Arial" w:hAnsi="Arial" w:cs="Arial"/>
          <w:bCs/>
          <w:sz w:val="26"/>
          <w:szCs w:val="26"/>
        </w:rPr>
        <w:t xml:space="preserve"> palabra retroactividad seg</w:t>
      </w:r>
      <w:r w:rsidR="00937DF3" w:rsidRPr="00172528">
        <w:rPr>
          <w:rFonts w:ascii="Arial" w:hAnsi="Arial" w:cs="Arial"/>
          <w:bCs/>
          <w:sz w:val="26"/>
          <w:szCs w:val="26"/>
        </w:rPr>
        <w:t>ún el diccionario de la Real Academia de la Lengua E</w:t>
      </w:r>
      <w:r w:rsidR="00201B85" w:rsidRPr="00172528">
        <w:rPr>
          <w:rFonts w:ascii="Arial" w:hAnsi="Arial" w:cs="Arial"/>
          <w:bCs/>
          <w:sz w:val="26"/>
          <w:szCs w:val="26"/>
        </w:rPr>
        <w:t>spañola, es aquel a que tiene la cualidad de retroactivo, a su vez</w:t>
      </w:r>
      <w:r w:rsidR="00685972" w:rsidRPr="00172528">
        <w:rPr>
          <w:rFonts w:ascii="Arial" w:hAnsi="Arial" w:cs="Arial"/>
          <w:bCs/>
          <w:sz w:val="26"/>
          <w:szCs w:val="26"/>
        </w:rPr>
        <w:t xml:space="preserve">, retroactivo, (proviene del </w:t>
      </w:r>
      <w:r w:rsidR="00937DF3" w:rsidRPr="00172528">
        <w:rPr>
          <w:rFonts w:ascii="Arial" w:hAnsi="Arial" w:cs="Arial"/>
          <w:bCs/>
          <w:sz w:val="26"/>
          <w:szCs w:val="26"/>
        </w:rPr>
        <w:t>latín</w:t>
      </w:r>
      <w:r w:rsidR="00685972" w:rsidRPr="00172528">
        <w:rPr>
          <w:rFonts w:ascii="Arial" w:hAnsi="Arial" w:cs="Arial"/>
          <w:bCs/>
          <w:sz w:val="26"/>
          <w:szCs w:val="26"/>
        </w:rPr>
        <w:t xml:space="preserve"> </w:t>
      </w:r>
      <w:proofErr w:type="spellStart"/>
      <w:r w:rsidR="00376A08" w:rsidRPr="00172528">
        <w:rPr>
          <w:rFonts w:ascii="Arial" w:hAnsi="Arial" w:cs="Arial"/>
          <w:bCs/>
          <w:sz w:val="26"/>
          <w:szCs w:val="26"/>
        </w:rPr>
        <w:t>retroact</w:t>
      </w:r>
      <w:r w:rsidR="00937DF3" w:rsidRPr="00172528">
        <w:rPr>
          <w:rFonts w:ascii="Arial" w:hAnsi="Arial" w:cs="Arial"/>
          <w:bCs/>
          <w:sz w:val="26"/>
          <w:szCs w:val="26"/>
        </w:rPr>
        <w:t>um</w:t>
      </w:r>
      <w:proofErr w:type="spellEnd"/>
      <w:r w:rsidR="00937DF3" w:rsidRPr="00172528">
        <w:rPr>
          <w:rFonts w:ascii="Arial" w:hAnsi="Arial" w:cs="Arial"/>
          <w:bCs/>
          <w:sz w:val="26"/>
          <w:szCs w:val="26"/>
        </w:rPr>
        <w:t xml:space="preserve">, supino de </w:t>
      </w:r>
      <w:proofErr w:type="spellStart"/>
      <w:r w:rsidR="00937DF3" w:rsidRPr="00172528">
        <w:rPr>
          <w:rFonts w:ascii="Arial" w:hAnsi="Arial" w:cs="Arial"/>
          <w:bCs/>
          <w:sz w:val="26"/>
          <w:szCs w:val="26"/>
        </w:rPr>
        <w:t>retroagere</w:t>
      </w:r>
      <w:proofErr w:type="spellEnd"/>
      <w:r w:rsidR="00937DF3" w:rsidRPr="00172528">
        <w:rPr>
          <w:rFonts w:ascii="Arial" w:hAnsi="Arial" w:cs="Arial"/>
          <w:bCs/>
          <w:sz w:val="26"/>
          <w:szCs w:val="26"/>
        </w:rPr>
        <w:t xml:space="preserve">, </w:t>
      </w:r>
      <w:r w:rsidR="00376A08" w:rsidRPr="00172528">
        <w:rPr>
          <w:rFonts w:ascii="Arial" w:hAnsi="Arial" w:cs="Arial"/>
          <w:bCs/>
          <w:sz w:val="26"/>
          <w:szCs w:val="26"/>
        </w:rPr>
        <w:t xml:space="preserve">hacer retroceder), que tiene la </w:t>
      </w:r>
      <w:r w:rsidR="00937DF3" w:rsidRPr="00172528">
        <w:rPr>
          <w:rFonts w:ascii="Arial" w:hAnsi="Arial" w:cs="Arial"/>
          <w:bCs/>
          <w:sz w:val="26"/>
          <w:szCs w:val="26"/>
        </w:rPr>
        <w:t>cualidad</w:t>
      </w:r>
      <w:r w:rsidR="00376A08" w:rsidRPr="00172528">
        <w:rPr>
          <w:rFonts w:ascii="Arial" w:hAnsi="Arial" w:cs="Arial"/>
          <w:bCs/>
          <w:sz w:val="26"/>
          <w:szCs w:val="26"/>
        </w:rPr>
        <w:t xml:space="preserve"> de retroactivo, significa </w:t>
      </w:r>
      <w:r w:rsidR="00937DF3" w:rsidRPr="00172528">
        <w:rPr>
          <w:rFonts w:ascii="Arial" w:hAnsi="Arial" w:cs="Arial"/>
          <w:bCs/>
          <w:sz w:val="26"/>
          <w:szCs w:val="26"/>
        </w:rPr>
        <w:t>q</w:t>
      </w:r>
      <w:r w:rsidR="00376A08" w:rsidRPr="00172528">
        <w:rPr>
          <w:rFonts w:ascii="Arial" w:hAnsi="Arial" w:cs="Arial"/>
          <w:bCs/>
          <w:sz w:val="26"/>
          <w:szCs w:val="26"/>
        </w:rPr>
        <w:t>ue tiene obra o ti</w:t>
      </w:r>
      <w:r w:rsidR="00937DF3" w:rsidRPr="00172528">
        <w:rPr>
          <w:rFonts w:ascii="Arial" w:hAnsi="Arial" w:cs="Arial"/>
          <w:bCs/>
          <w:sz w:val="26"/>
          <w:szCs w:val="26"/>
        </w:rPr>
        <w:t>ene fuerza sobre el pasado, la Suprema Corte de Justicia de la N</w:t>
      </w:r>
      <w:r w:rsidR="00376A08" w:rsidRPr="00172528">
        <w:rPr>
          <w:rFonts w:ascii="Arial" w:hAnsi="Arial" w:cs="Arial"/>
          <w:bCs/>
          <w:sz w:val="26"/>
          <w:szCs w:val="26"/>
        </w:rPr>
        <w:t xml:space="preserve">ación ha sostenido que la irretroactividad que </w:t>
      </w:r>
      <w:r w:rsidR="00937DF3" w:rsidRPr="00172528">
        <w:rPr>
          <w:rFonts w:ascii="Arial" w:hAnsi="Arial" w:cs="Arial"/>
          <w:bCs/>
          <w:sz w:val="26"/>
          <w:szCs w:val="26"/>
        </w:rPr>
        <w:t>prohíbe</w:t>
      </w:r>
      <w:r w:rsidR="00376A08" w:rsidRPr="00172528">
        <w:rPr>
          <w:rFonts w:ascii="Arial" w:hAnsi="Arial" w:cs="Arial"/>
          <w:bCs/>
          <w:sz w:val="26"/>
          <w:szCs w:val="26"/>
        </w:rPr>
        <w:t xml:space="preserve"> el </w:t>
      </w:r>
      <w:r w:rsidR="00937DF3" w:rsidRPr="00172528">
        <w:rPr>
          <w:rFonts w:ascii="Arial" w:hAnsi="Arial" w:cs="Arial"/>
          <w:bCs/>
          <w:sz w:val="26"/>
          <w:szCs w:val="26"/>
        </w:rPr>
        <w:t>artículo 14 de la Constitución Política de los Estados Unidos M</w:t>
      </w:r>
      <w:r w:rsidR="00376A08" w:rsidRPr="00172528">
        <w:rPr>
          <w:rFonts w:ascii="Arial" w:hAnsi="Arial" w:cs="Arial"/>
          <w:bCs/>
          <w:sz w:val="26"/>
          <w:szCs w:val="26"/>
        </w:rPr>
        <w:t xml:space="preserve">exicanos se encuentra referido tanto al legislador, </w:t>
      </w:r>
      <w:r w:rsidR="00937DF3" w:rsidRPr="00172528">
        <w:rPr>
          <w:rFonts w:ascii="Arial" w:hAnsi="Arial" w:cs="Arial"/>
          <w:bCs/>
          <w:sz w:val="26"/>
          <w:szCs w:val="26"/>
        </w:rPr>
        <w:t>así</w:t>
      </w:r>
      <w:r w:rsidR="00376A08" w:rsidRPr="00172528">
        <w:rPr>
          <w:rFonts w:ascii="Arial" w:hAnsi="Arial" w:cs="Arial"/>
          <w:bCs/>
          <w:sz w:val="26"/>
          <w:szCs w:val="26"/>
        </w:rPr>
        <w:t xml:space="preserve"> como a </w:t>
      </w:r>
      <w:r w:rsidR="00937DF3" w:rsidRPr="00172528">
        <w:rPr>
          <w:rFonts w:ascii="Arial" w:hAnsi="Arial" w:cs="Arial"/>
          <w:bCs/>
          <w:sz w:val="26"/>
          <w:szCs w:val="26"/>
        </w:rPr>
        <w:t>las</w:t>
      </w:r>
      <w:r w:rsidR="00376A08" w:rsidRPr="00172528">
        <w:rPr>
          <w:rFonts w:ascii="Arial" w:hAnsi="Arial" w:cs="Arial"/>
          <w:bCs/>
          <w:sz w:val="26"/>
          <w:szCs w:val="26"/>
        </w:rPr>
        <w:t xml:space="preserve"> autoridades que aplican a un caso determinado. Apoya su dicho con la jurisprudencia de rubro</w:t>
      </w:r>
      <w:r w:rsidR="000B5EDF" w:rsidRPr="00172528">
        <w:rPr>
          <w:rFonts w:ascii="Arial" w:hAnsi="Arial" w:cs="Arial"/>
          <w:bCs/>
          <w:sz w:val="26"/>
          <w:szCs w:val="26"/>
        </w:rPr>
        <w:t>;”</w:t>
      </w:r>
      <w:r w:rsidR="00376A08" w:rsidRPr="00172528">
        <w:rPr>
          <w:rFonts w:ascii="Arial" w:hAnsi="Arial" w:cs="Arial"/>
          <w:bCs/>
          <w:sz w:val="26"/>
          <w:szCs w:val="26"/>
        </w:rPr>
        <w:t xml:space="preserve"> </w:t>
      </w:r>
      <w:r w:rsidR="00937DF3" w:rsidRPr="00172528">
        <w:rPr>
          <w:rFonts w:ascii="Arial" w:hAnsi="Arial" w:cs="Arial"/>
          <w:b/>
          <w:bCs/>
          <w:sz w:val="26"/>
          <w:szCs w:val="26"/>
        </w:rPr>
        <w:t>IRRETROACTIVIDAD DE LAS LEYES. NO SE VIOLA ESA GARANTÍA CONSTITUCIONAL CUANDO LAS LEYES O ACTOS CONCRETOS DE APLICACIÓN SOLO AFECTAN SIMPLES EXPECTATIVAS DE DERECHO Y NO DERECHOS ADQUIRIDOS.”</w:t>
      </w:r>
    </w:p>
    <w:p w14:paraId="43085130" w14:textId="2D095CAC" w:rsidR="00376A08" w:rsidRPr="00172528" w:rsidRDefault="00376A08" w:rsidP="00B9012C">
      <w:pPr>
        <w:pStyle w:val="Sinespaciado"/>
        <w:spacing w:before="240" w:line="360" w:lineRule="auto"/>
        <w:ind w:firstLine="708"/>
        <w:jc w:val="both"/>
        <w:rPr>
          <w:rFonts w:ascii="Arial" w:hAnsi="Arial" w:cs="Arial"/>
          <w:b/>
          <w:bCs/>
          <w:sz w:val="26"/>
          <w:szCs w:val="26"/>
        </w:rPr>
      </w:pPr>
      <w:r w:rsidRPr="00172528">
        <w:rPr>
          <w:rFonts w:ascii="Arial" w:hAnsi="Arial" w:cs="Arial"/>
          <w:bCs/>
          <w:sz w:val="26"/>
          <w:szCs w:val="26"/>
        </w:rPr>
        <w:lastRenderedPageBreak/>
        <w:t xml:space="preserve">Explica  </w:t>
      </w:r>
      <w:r w:rsidR="003E2A35" w:rsidRPr="00172528">
        <w:rPr>
          <w:rFonts w:ascii="Arial" w:hAnsi="Arial" w:cs="Arial"/>
          <w:bCs/>
          <w:sz w:val="26"/>
          <w:szCs w:val="26"/>
        </w:rPr>
        <w:t>que</w:t>
      </w:r>
      <w:r w:rsidRPr="00172528">
        <w:rPr>
          <w:rFonts w:ascii="Arial" w:hAnsi="Arial" w:cs="Arial"/>
          <w:bCs/>
          <w:sz w:val="26"/>
          <w:szCs w:val="26"/>
        </w:rPr>
        <w:t xml:space="preserve"> una ley es retroactiva cuando trata de modificar o destruir un perjuicio de una persona los derechos que </w:t>
      </w:r>
      <w:r w:rsidR="00937DF3" w:rsidRPr="00172528">
        <w:rPr>
          <w:rFonts w:ascii="Arial" w:hAnsi="Arial" w:cs="Arial"/>
          <w:bCs/>
          <w:sz w:val="26"/>
          <w:szCs w:val="26"/>
        </w:rPr>
        <w:t>adquirió</w:t>
      </w:r>
      <w:r w:rsidRPr="00172528">
        <w:rPr>
          <w:rFonts w:ascii="Arial" w:hAnsi="Arial" w:cs="Arial"/>
          <w:bCs/>
          <w:sz w:val="26"/>
          <w:szCs w:val="26"/>
        </w:rPr>
        <w:t xml:space="preserve"> bajo la vigencia de la ley anterior, toda vez que estos ya entraron en el patrimonio o en la esfera jurídica del g</w:t>
      </w:r>
      <w:r w:rsidR="003E2A35" w:rsidRPr="00172528">
        <w:rPr>
          <w:rFonts w:ascii="Arial" w:hAnsi="Arial" w:cs="Arial"/>
          <w:bCs/>
          <w:sz w:val="26"/>
          <w:szCs w:val="26"/>
        </w:rPr>
        <w:t xml:space="preserve">obernado, y no cuando se aplica a meras expectativas de derecho, por lo que la garantía de la </w:t>
      </w:r>
      <w:r w:rsidR="00937DF3" w:rsidRPr="00172528">
        <w:rPr>
          <w:rFonts w:ascii="Arial" w:hAnsi="Arial" w:cs="Arial"/>
          <w:bCs/>
          <w:sz w:val="26"/>
          <w:szCs w:val="26"/>
        </w:rPr>
        <w:t>irretroactividad</w:t>
      </w:r>
      <w:r w:rsidR="003E2A35" w:rsidRPr="00172528">
        <w:rPr>
          <w:rFonts w:ascii="Arial" w:hAnsi="Arial" w:cs="Arial"/>
          <w:bCs/>
          <w:sz w:val="26"/>
          <w:szCs w:val="26"/>
        </w:rPr>
        <w:t xml:space="preserve"> de las leyes que consagra el </w:t>
      </w:r>
      <w:r w:rsidR="00937DF3" w:rsidRPr="00172528">
        <w:rPr>
          <w:rFonts w:ascii="Arial" w:hAnsi="Arial" w:cs="Arial"/>
          <w:bCs/>
          <w:sz w:val="26"/>
          <w:szCs w:val="26"/>
        </w:rPr>
        <w:t>artículo</w:t>
      </w:r>
      <w:r w:rsidR="003E2A35" w:rsidRPr="00172528">
        <w:rPr>
          <w:rFonts w:ascii="Arial" w:hAnsi="Arial" w:cs="Arial"/>
          <w:bCs/>
          <w:sz w:val="26"/>
          <w:szCs w:val="26"/>
        </w:rPr>
        <w:t xml:space="preserve"> 14 de la </w:t>
      </w:r>
      <w:r w:rsidR="00937DF3" w:rsidRPr="00172528">
        <w:rPr>
          <w:rFonts w:ascii="Arial" w:hAnsi="Arial" w:cs="Arial"/>
          <w:bCs/>
          <w:sz w:val="26"/>
          <w:szCs w:val="26"/>
        </w:rPr>
        <w:t>C</w:t>
      </w:r>
      <w:r w:rsidR="003E2A35" w:rsidRPr="00172528">
        <w:rPr>
          <w:rFonts w:ascii="Arial" w:hAnsi="Arial" w:cs="Arial"/>
          <w:bCs/>
          <w:sz w:val="26"/>
          <w:szCs w:val="26"/>
        </w:rPr>
        <w:t xml:space="preserve">onstitución </w:t>
      </w:r>
      <w:r w:rsidR="00937DF3" w:rsidRPr="00172528">
        <w:rPr>
          <w:rFonts w:ascii="Arial" w:hAnsi="Arial" w:cs="Arial"/>
          <w:bCs/>
          <w:sz w:val="26"/>
          <w:szCs w:val="26"/>
        </w:rPr>
        <w:t>P</w:t>
      </w:r>
      <w:r w:rsidR="003E2A35" w:rsidRPr="00172528">
        <w:rPr>
          <w:rFonts w:ascii="Arial" w:hAnsi="Arial" w:cs="Arial"/>
          <w:bCs/>
          <w:sz w:val="26"/>
          <w:szCs w:val="26"/>
        </w:rPr>
        <w:t xml:space="preserve">olítica </w:t>
      </w:r>
      <w:r w:rsidR="00937DF3" w:rsidRPr="00172528">
        <w:rPr>
          <w:rFonts w:ascii="Arial" w:hAnsi="Arial" w:cs="Arial"/>
          <w:bCs/>
          <w:sz w:val="26"/>
          <w:szCs w:val="26"/>
        </w:rPr>
        <w:t>de los Estados Unidos M</w:t>
      </w:r>
      <w:r w:rsidR="003E2A35" w:rsidRPr="00172528">
        <w:rPr>
          <w:rFonts w:ascii="Arial" w:hAnsi="Arial" w:cs="Arial"/>
          <w:bCs/>
          <w:sz w:val="26"/>
          <w:szCs w:val="26"/>
        </w:rPr>
        <w:t>exicanos establece que no se</w:t>
      </w:r>
      <w:r w:rsidR="00DF0F1C" w:rsidRPr="00172528">
        <w:rPr>
          <w:rFonts w:ascii="Arial" w:hAnsi="Arial" w:cs="Arial"/>
          <w:bCs/>
          <w:sz w:val="26"/>
          <w:szCs w:val="26"/>
        </w:rPr>
        <w:t xml:space="preserve"> pueden mo</w:t>
      </w:r>
      <w:r w:rsidR="00937DF3" w:rsidRPr="00172528">
        <w:rPr>
          <w:rFonts w:ascii="Arial" w:hAnsi="Arial" w:cs="Arial"/>
          <w:bCs/>
          <w:sz w:val="26"/>
          <w:szCs w:val="26"/>
        </w:rPr>
        <w:t>dific</w:t>
      </w:r>
      <w:r w:rsidR="00DF0F1C" w:rsidRPr="00172528">
        <w:rPr>
          <w:rFonts w:ascii="Arial" w:hAnsi="Arial" w:cs="Arial"/>
          <w:bCs/>
          <w:sz w:val="26"/>
          <w:szCs w:val="26"/>
        </w:rPr>
        <w:t xml:space="preserve">ar o afectar los </w:t>
      </w:r>
      <w:r w:rsidR="003E2A35" w:rsidRPr="00172528">
        <w:rPr>
          <w:rFonts w:ascii="Arial" w:hAnsi="Arial" w:cs="Arial"/>
          <w:bCs/>
          <w:sz w:val="26"/>
          <w:szCs w:val="26"/>
        </w:rPr>
        <w:t xml:space="preserve">derechos que </w:t>
      </w:r>
      <w:r w:rsidR="00937DF3" w:rsidRPr="00172528">
        <w:rPr>
          <w:rFonts w:ascii="Arial" w:hAnsi="Arial" w:cs="Arial"/>
          <w:bCs/>
          <w:sz w:val="26"/>
          <w:szCs w:val="26"/>
        </w:rPr>
        <w:t>adquirió</w:t>
      </w:r>
      <w:r w:rsidR="003E2A35" w:rsidRPr="00172528">
        <w:rPr>
          <w:rFonts w:ascii="Arial" w:hAnsi="Arial" w:cs="Arial"/>
          <w:bCs/>
          <w:sz w:val="26"/>
          <w:szCs w:val="26"/>
        </w:rPr>
        <w:t xml:space="preserve"> un gobernando bajo la vigilancia de una ley anterio</w:t>
      </w:r>
      <w:r w:rsidR="00DF0F1C" w:rsidRPr="00172528">
        <w:rPr>
          <w:rFonts w:ascii="Arial" w:hAnsi="Arial" w:cs="Arial"/>
          <w:bCs/>
          <w:sz w:val="26"/>
          <w:szCs w:val="26"/>
        </w:rPr>
        <w:t xml:space="preserve">r con la entrada </w:t>
      </w:r>
      <w:r w:rsidR="003E2A35" w:rsidRPr="00172528">
        <w:rPr>
          <w:rFonts w:ascii="Arial" w:hAnsi="Arial" w:cs="Arial"/>
          <w:bCs/>
          <w:sz w:val="26"/>
          <w:szCs w:val="26"/>
        </w:rPr>
        <w:t xml:space="preserve">de una nueva </w:t>
      </w:r>
      <w:r w:rsidR="00DF0F1C" w:rsidRPr="00172528">
        <w:rPr>
          <w:rFonts w:ascii="Arial" w:hAnsi="Arial" w:cs="Arial"/>
          <w:bCs/>
          <w:sz w:val="26"/>
          <w:szCs w:val="26"/>
        </w:rPr>
        <w:t>disposición</w:t>
      </w:r>
      <w:r w:rsidR="003E2A35" w:rsidRPr="00172528">
        <w:rPr>
          <w:rFonts w:ascii="Arial" w:hAnsi="Arial" w:cs="Arial"/>
          <w:bCs/>
          <w:sz w:val="26"/>
          <w:szCs w:val="26"/>
        </w:rPr>
        <w:t xml:space="preserve">  pero si se pueden regular las nuevas </w:t>
      </w:r>
      <w:r w:rsidR="00DF0F1C" w:rsidRPr="00172528">
        <w:rPr>
          <w:rFonts w:ascii="Arial" w:hAnsi="Arial" w:cs="Arial"/>
          <w:bCs/>
          <w:sz w:val="26"/>
          <w:szCs w:val="26"/>
        </w:rPr>
        <w:t>disipaciones</w:t>
      </w:r>
      <w:r w:rsidR="003E2A35" w:rsidRPr="00172528">
        <w:rPr>
          <w:rFonts w:ascii="Arial" w:hAnsi="Arial" w:cs="Arial"/>
          <w:bCs/>
          <w:sz w:val="26"/>
          <w:szCs w:val="26"/>
        </w:rPr>
        <w:t xml:space="preserve"> legales las meras </w:t>
      </w:r>
      <w:r w:rsidR="00DF0F1C" w:rsidRPr="00172528">
        <w:rPr>
          <w:rFonts w:ascii="Arial" w:hAnsi="Arial" w:cs="Arial"/>
          <w:bCs/>
          <w:sz w:val="26"/>
          <w:szCs w:val="26"/>
        </w:rPr>
        <w:t>expectativas</w:t>
      </w:r>
      <w:r w:rsidR="003E2A35" w:rsidRPr="00172528">
        <w:rPr>
          <w:rFonts w:ascii="Arial" w:hAnsi="Arial" w:cs="Arial"/>
          <w:bCs/>
          <w:sz w:val="26"/>
          <w:szCs w:val="26"/>
        </w:rPr>
        <w:t xml:space="preserve"> de derecho, sin que se contravengan el </w:t>
      </w:r>
      <w:r w:rsidR="00DF0F1C" w:rsidRPr="00172528">
        <w:rPr>
          <w:rFonts w:ascii="Arial" w:hAnsi="Arial" w:cs="Arial"/>
          <w:bCs/>
          <w:sz w:val="26"/>
          <w:szCs w:val="26"/>
        </w:rPr>
        <w:t>artículo</w:t>
      </w:r>
      <w:r w:rsidR="003E2A35" w:rsidRPr="00172528">
        <w:rPr>
          <w:rFonts w:ascii="Arial" w:hAnsi="Arial" w:cs="Arial"/>
          <w:bCs/>
          <w:sz w:val="26"/>
          <w:szCs w:val="26"/>
        </w:rPr>
        <w:t xml:space="preserve"> 14 de la </w:t>
      </w:r>
      <w:r w:rsidR="00937DF3" w:rsidRPr="00172528">
        <w:rPr>
          <w:rFonts w:ascii="Arial" w:hAnsi="Arial" w:cs="Arial"/>
          <w:bCs/>
          <w:sz w:val="26"/>
          <w:szCs w:val="26"/>
        </w:rPr>
        <w:t>C</w:t>
      </w:r>
      <w:r w:rsidR="003E2A35" w:rsidRPr="00172528">
        <w:rPr>
          <w:rFonts w:ascii="Arial" w:hAnsi="Arial" w:cs="Arial"/>
          <w:bCs/>
          <w:sz w:val="26"/>
          <w:szCs w:val="26"/>
        </w:rPr>
        <w:t xml:space="preserve">onstitución </w:t>
      </w:r>
      <w:r w:rsidR="00937DF3" w:rsidRPr="00172528">
        <w:rPr>
          <w:rFonts w:ascii="Arial" w:hAnsi="Arial" w:cs="Arial"/>
          <w:bCs/>
          <w:sz w:val="26"/>
          <w:szCs w:val="26"/>
        </w:rPr>
        <w:t>P</w:t>
      </w:r>
      <w:r w:rsidR="003E2A35" w:rsidRPr="00172528">
        <w:rPr>
          <w:rFonts w:ascii="Arial" w:hAnsi="Arial" w:cs="Arial"/>
          <w:bCs/>
          <w:sz w:val="26"/>
          <w:szCs w:val="26"/>
        </w:rPr>
        <w:t xml:space="preserve">olítica de los </w:t>
      </w:r>
      <w:r w:rsidR="00937DF3" w:rsidRPr="00172528">
        <w:rPr>
          <w:rFonts w:ascii="Arial" w:hAnsi="Arial" w:cs="Arial"/>
          <w:bCs/>
          <w:sz w:val="26"/>
          <w:szCs w:val="26"/>
        </w:rPr>
        <w:t>E</w:t>
      </w:r>
      <w:r w:rsidR="003E2A35" w:rsidRPr="00172528">
        <w:rPr>
          <w:rFonts w:ascii="Arial" w:hAnsi="Arial" w:cs="Arial"/>
          <w:bCs/>
          <w:sz w:val="26"/>
          <w:szCs w:val="26"/>
        </w:rPr>
        <w:t xml:space="preserve">stados </w:t>
      </w:r>
      <w:r w:rsidR="00937DF3" w:rsidRPr="00172528">
        <w:rPr>
          <w:rFonts w:ascii="Arial" w:hAnsi="Arial" w:cs="Arial"/>
          <w:bCs/>
          <w:sz w:val="26"/>
          <w:szCs w:val="26"/>
        </w:rPr>
        <w:t>Unidos M</w:t>
      </w:r>
      <w:r w:rsidR="003E2A35" w:rsidRPr="00172528">
        <w:rPr>
          <w:rFonts w:ascii="Arial" w:hAnsi="Arial" w:cs="Arial"/>
          <w:bCs/>
          <w:sz w:val="26"/>
          <w:szCs w:val="26"/>
        </w:rPr>
        <w:t xml:space="preserve">exicanos </w:t>
      </w:r>
      <w:r w:rsidR="00937DF3" w:rsidRPr="00172528">
        <w:rPr>
          <w:rFonts w:ascii="Arial" w:hAnsi="Arial" w:cs="Arial"/>
          <w:bCs/>
          <w:sz w:val="26"/>
          <w:szCs w:val="26"/>
        </w:rPr>
        <w:t>acompaña su decir</w:t>
      </w:r>
      <w:r w:rsidR="007836DE" w:rsidRPr="00172528">
        <w:rPr>
          <w:rFonts w:ascii="Arial" w:hAnsi="Arial" w:cs="Arial"/>
          <w:bCs/>
          <w:sz w:val="26"/>
          <w:szCs w:val="26"/>
        </w:rPr>
        <w:t xml:space="preserve"> con las jurisprudencia</w:t>
      </w:r>
      <w:r w:rsidR="00937DF3" w:rsidRPr="00172528">
        <w:rPr>
          <w:rFonts w:ascii="Arial" w:hAnsi="Arial" w:cs="Arial"/>
          <w:bCs/>
          <w:sz w:val="26"/>
          <w:szCs w:val="26"/>
        </w:rPr>
        <w:t xml:space="preserve"> de rubro</w:t>
      </w:r>
      <w:r w:rsidR="007836DE" w:rsidRPr="00172528">
        <w:rPr>
          <w:rFonts w:ascii="Arial" w:hAnsi="Arial" w:cs="Arial"/>
          <w:bCs/>
          <w:sz w:val="26"/>
          <w:szCs w:val="26"/>
        </w:rPr>
        <w:t xml:space="preserve"> </w:t>
      </w:r>
      <w:r w:rsidR="00937DF3" w:rsidRPr="00172528">
        <w:rPr>
          <w:rFonts w:ascii="Arial" w:hAnsi="Arial" w:cs="Arial"/>
          <w:b/>
          <w:bCs/>
          <w:sz w:val="26"/>
          <w:szCs w:val="26"/>
        </w:rPr>
        <w:t>“RETROACTIVIDAD DE LAS LEYES. SU DETERMINACIÓN CONFORME A LA TEORÍA DE LOS COMPONENTES DE LA NORMA.</w:t>
      </w:r>
    </w:p>
    <w:p w14:paraId="0384971B" w14:textId="57294CE3" w:rsidR="00DF0F1C" w:rsidRPr="00172528" w:rsidRDefault="00DF0F1C" w:rsidP="00DF0F1C">
      <w:pPr>
        <w:pStyle w:val="Sinespaciado"/>
        <w:spacing w:before="240" w:line="360" w:lineRule="auto"/>
        <w:ind w:firstLine="708"/>
        <w:jc w:val="both"/>
        <w:rPr>
          <w:rFonts w:ascii="Arial" w:hAnsi="Arial" w:cs="Arial"/>
          <w:b/>
          <w:bCs/>
          <w:sz w:val="26"/>
          <w:szCs w:val="26"/>
        </w:rPr>
      </w:pPr>
      <w:r w:rsidRPr="00172528">
        <w:rPr>
          <w:rFonts w:ascii="Arial" w:hAnsi="Arial" w:cs="Arial"/>
          <w:bCs/>
          <w:sz w:val="26"/>
          <w:szCs w:val="26"/>
        </w:rPr>
        <w:t>Sigue abundando</w:t>
      </w:r>
      <w:r w:rsidR="00937DF3" w:rsidRPr="00172528">
        <w:rPr>
          <w:rFonts w:ascii="Arial" w:hAnsi="Arial" w:cs="Arial"/>
          <w:bCs/>
          <w:sz w:val="26"/>
          <w:szCs w:val="26"/>
        </w:rPr>
        <w:t xml:space="preserve">, </w:t>
      </w:r>
      <w:r w:rsidRPr="00172528">
        <w:rPr>
          <w:rFonts w:ascii="Arial" w:hAnsi="Arial" w:cs="Arial"/>
          <w:bCs/>
          <w:sz w:val="26"/>
          <w:szCs w:val="26"/>
        </w:rPr>
        <w:t xml:space="preserve"> que para estar en  posibilidad de determinar si una disposición normativa es violatoria </w:t>
      </w:r>
      <w:r w:rsidR="00937DF3" w:rsidRPr="00172528">
        <w:rPr>
          <w:rFonts w:ascii="Arial" w:hAnsi="Arial" w:cs="Arial"/>
          <w:bCs/>
          <w:sz w:val="26"/>
          <w:szCs w:val="26"/>
        </w:rPr>
        <w:t xml:space="preserve">con </w:t>
      </w:r>
      <w:r w:rsidRPr="00172528">
        <w:rPr>
          <w:rFonts w:ascii="Arial" w:hAnsi="Arial" w:cs="Arial"/>
          <w:bCs/>
          <w:sz w:val="26"/>
          <w:szCs w:val="26"/>
        </w:rPr>
        <w:t xml:space="preserve">lo dispuesto por el artículo 14 de la </w:t>
      </w:r>
      <w:r w:rsidR="00937DF3" w:rsidRPr="00172528">
        <w:rPr>
          <w:rFonts w:ascii="Arial" w:hAnsi="Arial" w:cs="Arial"/>
          <w:bCs/>
          <w:sz w:val="26"/>
          <w:szCs w:val="26"/>
        </w:rPr>
        <w:t>C</w:t>
      </w:r>
      <w:r w:rsidRPr="00172528">
        <w:rPr>
          <w:rFonts w:ascii="Arial" w:hAnsi="Arial" w:cs="Arial"/>
          <w:bCs/>
          <w:sz w:val="26"/>
          <w:szCs w:val="26"/>
        </w:rPr>
        <w:t xml:space="preserve">onstitución </w:t>
      </w:r>
      <w:r w:rsidR="00937DF3" w:rsidRPr="00172528">
        <w:rPr>
          <w:rFonts w:ascii="Arial" w:hAnsi="Arial" w:cs="Arial"/>
          <w:bCs/>
          <w:sz w:val="26"/>
          <w:szCs w:val="26"/>
        </w:rPr>
        <w:t>G</w:t>
      </w:r>
      <w:r w:rsidRPr="00172528">
        <w:rPr>
          <w:rFonts w:ascii="Arial" w:hAnsi="Arial" w:cs="Arial"/>
          <w:bCs/>
          <w:sz w:val="26"/>
          <w:szCs w:val="26"/>
        </w:rPr>
        <w:t xml:space="preserve">eneral de la </w:t>
      </w:r>
      <w:r w:rsidR="00937DF3" w:rsidRPr="00172528">
        <w:rPr>
          <w:rFonts w:ascii="Arial" w:hAnsi="Arial" w:cs="Arial"/>
          <w:bCs/>
          <w:sz w:val="26"/>
          <w:szCs w:val="26"/>
        </w:rPr>
        <w:t>R</w:t>
      </w:r>
      <w:r w:rsidRPr="00172528">
        <w:rPr>
          <w:rFonts w:ascii="Arial" w:hAnsi="Arial" w:cs="Arial"/>
          <w:bCs/>
          <w:sz w:val="26"/>
          <w:szCs w:val="26"/>
        </w:rPr>
        <w:t xml:space="preserve">epública, con base en la teoría de los componentes de la norma, debe tomarse en cuenta los distintos momentos en que se realiza el supuesto o supuestos jurídicos, la consecuencia o consecuencias de que ello derivan y la fecha en que entro en vigor la nueva disposición. </w:t>
      </w:r>
      <w:r w:rsidR="00937DF3" w:rsidRPr="00172528">
        <w:rPr>
          <w:rFonts w:ascii="Arial" w:hAnsi="Arial" w:cs="Arial"/>
          <w:bCs/>
          <w:sz w:val="26"/>
          <w:szCs w:val="26"/>
        </w:rPr>
        <w:t xml:space="preserve">Cita </w:t>
      </w:r>
      <w:r w:rsidRPr="00172528">
        <w:rPr>
          <w:rFonts w:ascii="Arial" w:hAnsi="Arial" w:cs="Arial"/>
          <w:bCs/>
          <w:sz w:val="26"/>
          <w:szCs w:val="26"/>
        </w:rPr>
        <w:t>la jurisprudencia de rubro;  “</w:t>
      </w:r>
      <w:r w:rsidR="00937DF3" w:rsidRPr="00172528">
        <w:rPr>
          <w:rFonts w:ascii="Arial" w:hAnsi="Arial" w:cs="Arial"/>
          <w:b/>
          <w:bCs/>
          <w:sz w:val="26"/>
          <w:szCs w:val="26"/>
        </w:rPr>
        <w:t>RETROACTIVIDAD  DE LAS LEYES SU DETERMINACIÓN CONFORME A LA TEORÍA DE LOS COMPONENTES DE LA NORMA”</w:t>
      </w:r>
    </w:p>
    <w:p w14:paraId="7C569C99" w14:textId="6DF07BD4" w:rsidR="00DF0F1C" w:rsidRPr="00172528" w:rsidRDefault="00DF0F1C" w:rsidP="00DF0F1C">
      <w:pPr>
        <w:pStyle w:val="Sinespaciado"/>
        <w:spacing w:before="240" w:line="360" w:lineRule="auto"/>
        <w:ind w:firstLine="708"/>
        <w:jc w:val="both"/>
        <w:rPr>
          <w:rFonts w:ascii="Arial" w:hAnsi="Arial" w:cs="Arial"/>
          <w:bCs/>
          <w:sz w:val="26"/>
          <w:szCs w:val="26"/>
        </w:rPr>
      </w:pPr>
      <w:r w:rsidRPr="00172528">
        <w:rPr>
          <w:rFonts w:ascii="Arial" w:hAnsi="Arial" w:cs="Arial"/>
          <w:bCs/>
          <w:sz w:val="26"/>
          <w:szCs w:val="26"/>
        </w:rPr>
        <w:t>Dice</w:t>
      </w:r>
      <w:r w:rsidR="00937DF3" w:rsidRPr="00172528">
        <w:rPr>
          <w:rFonts w:ascii="Arial" w:hAnsi="Arial" w:cs="Arial"/>
          <w:bCs/>
          <w:sz w:val="26"/>
          <w:szCs w:val="26"/>
        </w:rPr>
        <w:t xml:space="preserve"> el agraviado, </w:t>
      </w:r>
      <w:r w:rsidRPr="00172528">
        <w:rPr>
          <w:rFonts w:ascii="Arial" w:hAnsi="Arial" w:cs="Arial"/>
          <w:bCs/>
          <w:sz w:val="26"/>
          <w:szCs w:val="26"/>
        </w:rPr>
        <w:t>que la cesación de toda relación laboral</w:t>
      </w:r>
      <w:r w:rsidR="00B7107F" w:rsidRPr="00172528">
        <w:rPr>
          <w:rFonts w:ascii="Arial" w:hAnsi="Arial" w:cs="Arial"/>
          <w:bCs/>
          <w:sz w:val="26"/>
          <w:szCs w:val="26"/>
        </w:rPr>
        <w:t xml:space="preserve"> que termina al mismo tiempo,</w:t>
      </w:r>
      <w:r w:rsidRPr="00172528">
        <w:rPr>
          <w:rFonts w:ascii="Arial" w:hAnsi="Arial" w:cs="Arial"/>
          <w:bCs/>
          <w:sz w:val="26"/>
          <w:szCs w:val="26"/>
        </w:rPr>
        <w:t xml:space="preserve"> termina cualquier contrato de trabajo vigente y permite al trabajador acogerse a un régimen de </w:t>
      </w:r>
      <w:r w:rsidR="00BD029B" w:rsidRPr="00172528">
        <w:rPr>
          <w:rFonts w:ascii="Arial" w:hAnsi="Arial" w:cs="Arial"/>
          <w:bCs/>
          <w:sz w:val="26"/>
          <w:szCs w:val="26"/>
        </w:rPr>
        <w:t>retiro, a</w:t>
      </w:r>
      <w:r w:rsidRPr="00172528">
        <w:rPr>
          <w:rFonts w:ascii="Arial" w:hAnsi="Arial" w:cs="Arial"/>
          <w:bCs/>
          <w:sz w:val="26"/>
          <w:szCs w:val="26"/>
        </w:rPr>
        <w:t xml:space="preserve"> través del cual obtiene </w:t>
      </w:r>
      <w:r w:rsidR="00BD029B" w:rsidRPr="00172528">
        <w:rPr>
          <w:rFonts w:ascii="Arial" w:hAnsi="Arial" w:cs="Arial"/>
          <w:bCs/>
          <w:sz w:val="26"/>
          <w:szCs w:val="26"/>
        </w:rPr>
        <w:t>una</w:t>
      </w:r>
      <w:r w:rsidRPr="00172528">
        <w:rPr>
          <w:rFonts w:ascii="Arial" w:hAnsi="Arial" w:cs="Arial"/>
          <w:bCs/>
          <w:sz w:val="26"/>
          <w:szCs w:val="26"/>
        </w:rPr>
        <w:t xml:space="preserve"> </w:t>
      </w:r>
      <w:r w:rsidR="00BD029B" w:rsidRPr="00172528">
        <w:rPr>
          <w:rFonts w:ascii="Arial" w:hAnsi="Arial" w:cs="Arial"/>
          <w:bCs/>
          <w:sz w:val="26"/>
          <w:szCs w:val="26"/>
        </w:rPr>
        <w:t>remuneración</w:t>
      </w:r>
      <w:r w:rsidRPr="00172528">
        <w:rPr>
          <w:rFonts w:ascii="Arial" w:hAnsi="Arial" w:cs="Arial"/>
          <w:bCs/>
          <w:sz w:val="26"/>
          <w:szCs w:val="26"/>
        </w:rPr>
        <w:t xml:space="preserve"> mensual vitalicia cuando ha alcanzado una edad </w:t>
      </w:r>
      <w:r w:rsidR="00BD029B" w:rsidRPr="00172528">
        <w:rPr>
          <w:rFonts w:ascii="Arial" w:hAnsi="Arial" w:cs="Arial"/>
          <w:bCs/>
          <w:sz w:val="26"/>
          <w:szCs w:val="26"/>
        </w:rPr>
        <w:t>límite</w:t>
      </w:r>
      <w:r w:rsidRPr="00172528">
        <w:rPr>
          <w:rFonts w:ascii="Arial" w:hAnsi="Arial" w:cs="Arial"/>
          <w:bCs/>
          <w:sz w:val="26"/>
          <w:szCs w:val="26"/>
        </w:rPr>
        <w:t xml:space="preserve"> o ha prestado determinado </w:t>
      </w:r>
      <w:r w:rsidR="00BD029B" w:rsidRPr="00172528">
        <w:rPr>
          <w:rFonts w:ascii="Arial" w:hAnsi="Arial" w:cs="Arial"/>
          <w:bCs/>
          <w:sz w:val="26"/>
          <w:szCs w:val="26"/>
        </w:rPr>
        <w:t>número</w:t>
      </w:r>
      <w:r w:rsidRPr="00172528">
        <w:rPr>
          <w:rFonts w:ascii="Arial" w:hAnsi="Arial" w:cs="Arial"/>
          <w:bCs/>
          <w:sz w:val="26"/>
          <w:szCs w:val="26"/>
        </w:rPr>
        <w:t xml:space="preserve"> de años de trabajo </w:t>
      </w:r>
      <w:r w:rsidR="00B7107F" w:rsidRPr="00172528">
        <w:rPr>
          <w:rFonts w:ascii="Arial" w:hAnsi="Arial" w:cs="Arial"/>
          <w:bCs/>
          <w:sz w:val="26"/>
          <w:szCs w:val="26"/>
        </w:rPr>
        <w:t>a</w:t>
      </w:r>
      <w:r w:rsidRPr="00172528">
        <w:rPr>
          <w:rFonts w:ascii="Arial" w:hAnsi="Arial" w:cs="Arial"/>
          <w:bCs/>
          <w:sz w:val="26"/>
          <w:szCs w:val="26"/>
        </w:rPr>
        <w:t xml:space="preserve"> un patrón, sea persona, empresa o negociación</w:t>
      </w:r>
      <w:r w:rsidR="00B7107F" w:rsidRPr="00172528">
        <w:rPr>
          <w:rFonts w:ascii="Arial" w:hAnsi="Arial" w:cs="Arial"/>
          <w:bCs/>
          <w:sz w:val="26"/>
          <w:szCs w:val="26"/>
        </w:rPr>
        <w:t>, o el propio estado, la L</w:t>
      </w:r>
      <w:r w:rsidR="00BD029B" w:rsidRPr="00172528">
        <w:rPr>
          <w:rFonts w:ascii="Arial" w:hAnsi="Arial" w:cs="Arial"/>
          <w:bCs/>
          <w:sz w:val="26"/>
          <w:szCs w:val="26"/>
        </w:rPr>
        <w:t xml:space="preserve">ey de </w:t>
      </w:r>
      <w:r w:rsidR="00B7107F" w:rsidRPr="00172528">
        <w:rPr>
          <w:rFonts w:ascii="Arial" w:hAnsi="Arial" w:cs="Arial"/>
          <w:bCs/>
          <w:sz w:val="26"/>
          <w:szCs w:val="26"/>
        </w:rPr>
        <w:t>Pensiones para los T</w:t>
      </w:r>
      <w:r w:rsidR="00BD029B" w:rsidRPr="00172528">
        <w:rPr>
          <w:rFonts w:ascii="Arial" w:hAnsi="Arial" w:cs="Arial"/>
          <w:bCs/>
          <w:sz w:val="26"/>
          <w:szCs w:val="26"/>
        </w:rPr>
        <w:t>rabadores del</w:t>
      </w:r>
      <w:r w:rsidR="00B7107F" w:rsidRPr="00172528">
        <w:rPr>
          <w:rFonts w:ascii="Arial" w:hAnsi="Arial" w:cs="Arial"/>
          <w:bCs/>
          <w:sz w:val="26"/>
          <w:szCs w:val="26"/>
        </w:rPr>
        <w:t xml:space="preserve"> Gobierno del E</w:t>
      </w:r>
      <w:r w:rsidR="00BD029B" w:rsidRPr="00172528">
        <w:rPr>
          <w:rFonts w:ascii="Arial" w:hAnsi="Arial" w:cs="Arial"/>
          <w:bCs/>
          <w:sz w:val="26"/>
          <w:szCs w:val="26"/>
        </w:rPr>
        <w:t>stado de Oaxaca, así</w:t>
      </w:r>
      <w:r w:rsidR="00B7107F" w:rsidRPr="00172528">
        <w:rPr>
          <w:rFonts w:ascii="Arial" w:hAnsi="Arial" w:cs="Arial"/>
          <w:bCs/>
          <w:sz w:val="26"/>
          <w:szCs w:val="26"/>
        </w:rPr>
        <w:t xml:space="preserve"> como la abrogada Ley de Pensiones para los Empleados del Gobierno del E</w:t>
      </w:r>
      <w:r w:rsidR="00BD029B" w:rsidRPr="00172528">
        <w:rPr>
          <w:rFonts w:ascii="Arial" w:hAnsi="Arial" w:cs="Arial"/>
          <w:bCs/>
          <w:sz w:val="26"/>
          <w:szCs w:val="26"/>
        </w:rPr>
        <w:t>stado de Oaxaca</w:t>
      </w:r>
      <w:r w:rsidR="00B7107F" w:rsidRPr="00172528">
        <w:rPr>
          <w:rFonts w:ascii="Arial" w:hAnsi="Arial" w:cs="Arial"/>
          <w:bCs/>
          <w:sz w:val="26"/>
          <w:szCs w:val="26"/>
        </w:rPr>
        <w:t>, establecen, entre otros</w:t>
      </w:r>
      <w:r w:rsidR="00BD029B" w:rsidRPr="00172528">
        <w:rPr>
          <w:rFonts w:ascii="Arial" w:hAnsi="Arial" w:cs="Arial"/>
          <w:bCs/>
          <w:sz w:val="26"/>
          <w:szCs w:val="26"/>
        </w:rPr>
        <w:t xml:space="preserve"> requisitos de edad y tiempo de servicios para la procedencia de la pensión. </w:t>
      </w:r>
    </w:p>
    <w:p w14:paraId="43CB561B" w14:textId="48AAE581" w:rsidR="00050BDC" w:rsidRPr="00172528" w:rsidRDefault="00EC71E5" w:rsidP="00BD029B">
      <w:pPr>
        <w:pStyle w:val="Sinespaciado"/>
        <w:spacing w:before="240" w:line="360" w:lineRule="auto"/>
        <w:jc w:val="both"/>
        <w:rPr>
          <w:rFonts w:ascii="Arial" w:hAnsi="Arial" w:cs="Arial"/>
          <w:bCs/>
          <w:color w:val="000000"/>
          <w:sz w:val="26"/>
          <w:szCs w:val="26"/>
          <w:lang w:val="es-MX"/>
        </w:rPr>
      </w:pPr>
      <w:r w:rsidRPr="00172528">
        <w:rPr>
          <w:rFonts w:ascii="Arial" w:hAnsi="Arial" w:cs="Arial"/>
          <w:b/>
          <w:bCs/>
          <w:sz w:val="26"/>
          <w:szCs w:val="26"/>
        </w:rPr>
        <w:lastRenderedPageBreak/>
        <w:t xml:space="preserve"> </w:t>
      </w:r>
    </w:p>
    <w:p w14:paraId="344580E2" w14:textId="31716D62" w:rsidR="007C4404" w:rsidRPr="00172528" w:rsidRDefault="0084506D" w:rsidP="0084506D">
      <w:pPr>
        <w:spacing w:line="360" w:lineRule="auto"/>
        <w:ind w:firstLine="709"/>
        <w:jc w:val="both"/>
        <w:rPr>
          <w:rFonts w:ascii="Arial" w:hAnsi="Arial" w:cs="Arial"/>
          <w:bCs/>
          <w:sz w:val="26"/>
          <w:szCs w:val="26"/>
        </w:rPr>
      </w:pPr>
      <w:r w:rsidRPr="00172528">
        <w:rPr>
          <w:rFonts w:ascii="Arial" w:hAnsi="Arial" w:cs="Arial"/>
          <w:color w:val="000000"/>
          <w:sz w:val="26"/>
          <w:szCs w:val="26"/>
        </w:rPr>
        <w:t>D</w:t>
      </w:r>
      <w:r w:rsidRPr="00172528">
        <w:rPr>
          <w:rFonts w:ascii="Arial" w:hAnsi="Arial" w:cs="Arial"/>
          <w:bCs/>
          <w:sz w:val="26"/>
          <w:szCs w:val="26"/>
        </w:rPr>
        <w:t xml:space="preserve">el análisis a las constancias que integran el expediente de primera instancia, a las que se les otorga pleno valor probatorio de conformidad con lo dispuesto por </w:t>
      </w:r>
      <w:r w:rsidR="00172528">
        <w:rPr>
          <w:rFonts w:ascii="Arial" w:hAnsi="Arial" w:cs="Arial"/>
          <w:bCs/>
          <w:sz w:val="26"/>
          <w:szCs w:val="26"/>
        </w:rPr>
        <w:t xml:space="preserve">el artículo </w:t>
      </w:r>
      <w:r w:rsidR="00172528" w:rsidRPr="006F2514">
        <w:rPr>
          <w:rFonts w:ascii="Arial" w:eastAsia="Calibri" w:hAnsi="Arial" w:cs="Arial"/>
          <w:bCs/>
          <w:sz w:val="26"/>
          <w:szCs w:val="26"/>
        </w:rPr>
        <w:t>203 fracción I de la Ley de Procedimiento y Justicia Administrativa para el Estado</w:t>
      </w:r>
      <w:r w:rsidRPr="00172528">
        <w:rPr>
          <w:rFonts w:ascii="Arial" w:hAnsi="Arial" w:cs="Arial"/>
          <w:bCs/>
          <w:sz w:val="26"/>
          <w:szCs w:val="26"/>
        </w:rPr>
        <w:t>, por tratarse de actuaciones judiciales, se advierte que la resolutora determin</w:t>
      </w:r>
      <w:r w:rsidR="00FC3747" w:rsidRPr="00172528">
        <w:rPr>
          <w:rFonts w:ascii="Arial" w:hAnsi="Arial" w:cs="Arial"/>
          <w:bCs/>
          <w:sz w:val="26"/>
          <w:szCs w:val="26"/>
        </w:rPr>
        <w:t>ó en el considerando tercero, lo siguiente</w:t>
      </w:r>
      <w:r w:rsidRPr="00172528">
        <w:rPr>
          <w:rFonts w:ascii="Arial" w:hAnsi="Arial" w:cs="Arial"/>
          <w:bCs/>
          <w:sz w:val="26"/>
          <w:szCs w:val="26"/>
        </w:rPr>
        <w:t xml:space="preserve">: </w:t>
      </w:r>
    </w:p>
    <w:p w14:paraId="76E983A8" w14:textId="77777777" w:rsidR="00E76E8A" w:rsidRPr="00172528" w:rsidRDefault="00E76E8A" w:rsidP="0084506D">
      <w:pPr>
        <w:spacing w:line="360" w:lineRule="auto"/>
        <w:ind w:firstLine="709"/>
        <w:jc w:val="both"/>
        <w:rPr>
          <w:rFonts w:ascii="Arial" w:eastAsia="Calibri" w:hAnsi="Arial" w:cs="Arial"/>
          <w:b/>
          <w:bCs/>
          <w:sz w:val="26"/>
          <w:szCs w:val="26"/>
        </w:rPr>
      </w:pPr>
    </w:p>
    <w:p w14:paraId="54E636AA" w14:textId="60E6DB95" w:rsidR="00C12005" w:rsidRPr="001720D6" w:rsidRDefault="00FC3747" w:rsidP="001720D6">
      <w:pPr>
        <w:spacing w:line="360" w:lineRule="auto"/>
        <w:ind w:left="284" w:right="333" w:firstLine="425"/>
        <w:jc w:val="both"/>
        <w:rPr>
          <w:rFonts w:ascii="Arial" w:eastAsia="Calibri" w:hAnsi="Arial" w:cs="Arial"/>
          <w:bCs/>
        </w:rPr>
      </w:pPr>
      <w:r w:rsidRPr="001720D6">
        <w:rPr>
          <w:rFonts w:ascii="Arial" w:eastAsia="Calibri" w:hAnsi="Arial" w:cs="Arial"/>
          <w:b/>
          <w:bCs/>
        </w:rPr>
        <w:t>“</w:t>
      </w:r>
      <w:r w:rsidR="007C2E95" w:rsidRPr="001720D6">
        <w:rPr>
          <w:rFonts w:ascii="Arial" w:eastAsia="Calibri" w:hAnsi="Arial" w:cs="Arial"/>
          <w:b/>
          <w:bCs/>
        </w:rPr>
        <w:t>…</w:t>
      </w:r>
      <w:r w:rsidR="004E2127" w:rsidRPr="001720D6">
        <w:rPr>
          <w:rFonts w:ascii="Arial" w:eastAsia="Calibri" w:hAnsi="Arial" w:cs="Arial"/>
          <w:bCs/>
        </w:rPr>
        <w:t xml:space="preserve"> </w:t>
      </w:r>
      <w:r w:rsidR="004309A3" w:rsidRPr="001720D6">
        <w:rPr>
          <w:rFonts w:ascii="Arial" w:eastAsia="Calibri" w:hAnsi="Arial" w:cs="Arial"/>
          <w:bCs/>
        </w:rPr>
        <w:t xml:space="preserve"> </w:t>
      </w:r>
      <w:r w:rsidR="00BD029B" w:rsidRPr="001720D6">
        <w:rPr>
          <w:rFonts w:ascii="Arial" w:eastAsia="Calibri" w:hAnsi="Arial" w:cs="Arial"/>
          <w:bCs/>
        </w:rPr>
        <w:t xml:space="preserve">El derecho adquirido es </w:t>
      </w:r>
      <w:r w:rsidR="00FD2DA3" w:rsidRPr="001720D6">
        <w:rPr>
          <w:rFonts w:ascii="Arial" w:eastAsia="Calibri" w:hAnsi="Arial" w:cs="Arial"/>
          <w:bCs/>
        </w:rPr>
        <w:t>definible</w:t>
      </w:r>
      <w:r w:rsidR="00BD029B" w:rsidRPr="001720D6">
        <w:rPr>
          <w:rFonts w:ascii="Arial" w:eastAsia="Calibri" w:hAnsi="Arial" w:cs="Arial"/>
          <w:bCs/>
        </w:rPr>
        <w:t xml:space="preserve"> cuando el acto realizado introduce un bien, una </w:t>
      </w:r>
      <w:r w:rsidR="00FD2DA3" w:rsidRPr="001720D6">
        <w:rPr>
          <w:rFonts w:ascii="Arial" w:eastAsia="Calibri" w:hAnsi="Arial" w:cs="Arial"/>
          <w:bCs/>
        </w:rPr>
        <w:t>facultad</w:t>
      </w:r>
      <w:r w:rsidR="00BD029B" w:rsidRPr="001720D6">
        <w:rPr>
          <w:rFonts w:ascii="Arial" w:eastAsia="Calibri" w:hAnsi="Arial" w:cs="Arial"/>
          <w:bCs/>
        </w:rPr>
        <w:t xml:space="preserve"> o un aprovechamiento al patrimonio de una persona, y ese hecho ya no puede afectarse por la voluntad de quienes intervinieron en el acto ni por disposición legal en contrario, en cambio la expectativa de derecho, es una </w:t>
      </w:r>
      <w:r w:rsidR="00FD2DA3" w:rsidRPr="001720D6">
        <w:rPr>
          <w:rFonts w:ascii="Arial" w:eastAsia="Calibri" w:hAnsi="Arial" w:cs="Arial"/>
          <w:bCs/>
        </w:rPr>
        <w:t>esperanza</w:t>
      </w:r>
      <w:r w:rsidR="00BD029B" w:rsidRPr="001720D6">
        <w:rPr>
          <w:rFonts w:ascii="Arial" w:eastAsia="Calibri" w:hAnsi="Arial" w:cs="Arial"/>
          <w:bCs/>
        </w:rPr>
        <w:t xml:space="preserve"> o una </w:t>
      </w:r>
      <w:r w:rsidR="00FD2DA3" w:rsidRPr="001720D6">
        <w:rPr>
          <w:rFonts w:ascii="Arial" w:eastAsia="Calibri" w:hAnsi="Arial" w:cs="Arial"/>
          <w:bCs/>
        </w:rPr>
        <w:t>pretensión</w:t>
      </w:r>
      <w:r w:rsidR="00BD029B" w:rsidRPr="001720D6">
        <w:rPr>
          <w:rFonts w:ascii="Arial" w:eastAsia="Calibri" w:hAnsi="Arial" w:cs="Arial"/>
          <w:bCs/>
        </w:rPr>
        <w:t xml:space="preserve"> de que se realice una determinada situación jurídica, pero no entra al patrimonio de una persona, es decir, correspondiente al futuro, al no haberse cubierto los req</w:t>
      </w:r>
      <w:r w:rsidR="00E76E8A" w:rsidRPr="001720D6">
        <w:rPr>
          <w:rFonts w:ascii="Arial" w:eastAsia="Calibri" w:hAnsi="Arial" w:cs="Arial"/>
          <w:bCs/>
        </w:rPr>
        <w:t>uisitos que en su momento previó</w:t>
      </w:r>
      <w:r w:rsidR="00BD029B" w:rsidRPr="001720D6">
        <w:rPr>
          <w:rFonts w:ascii="Arial" w:eastAsia="Calibri" w:hAnsi="Arial" w:cs="Arial"/>
          <w:bCs/>
        </w:rPr>
        <w:t xml:space="preserve"> la ley, en conclusión, la ley es retroactiva cuando trata de modificar o destruir los derechos</w:t>
      </w:r>
      <w:r w:rsidR="00471568" w:rsidRPr="001720D6">
        <w:rPr>
          <w:rFonts w:ascii="Arial" w:eastAsia="Calibri" w:hAnsi="Arial" w:cs="Arial"/>
          <w:bCs/>
        </w:rPr>
        <w:t xml:space="preserve"> que una persona </w:t>
      </w:r>
      <w:r w:rsidR="00FD2DA3" w:rsidRPr="001720D6">
        <w:rPr>
          <w:rFonts w:ascii="Arial" w:eastAsia="Calibri" w:hAnsi="Arial" w:cs="Arial"/>
          <w:bCs/>
        </w:rPr>
        <w:t>adquirió</w:t>
      </w:r>
      <w:r w:rsidR="00471568" w:rsidRPr="001720D6">
        <w:rPr>
          <w:rFonts w:ascii="Arial" w:eastAsia="Calibri" w:hAnsi="Arial" w:cs="Arial"/>
          <w:bCs/>
        </w:rPr>
        <w:t xml:space="preserve"> bajo la vigencia de la ley anterior, </w:t>
      </w:r>
      <w:r w:rsidR="00FD2DA3" w:rsidRPr="001720D6">
        <w:rPr>
          <w:rFonts w:ascii="Arial" w:eastAsia="Calibri" w:hAnsi="Arial" w:cs="Arial"/>
          <w:bCs/>
        </w:rPr>
        <w:t>porque</w:t>
      </w:r>
      <w:r w:rsidR="00471568" w:rsidRPr="001720D6">
        <w:rPr>
          <w:rFonts w:ascii="Arial" w:eastAsia="Calibri" w:hAnsi="Arial" w:cs="Arial"/>
          <w:bCs/>
        </w:rPr>
        <w:t xml:space="preserve"> esos derechos ya habían entrado en su patrimonio o esfera jurídica, pero no sucede lo mismo cuando se trata de </w:t>
      </w:r>
      <w:r w:rsidR="00FD2DA3" w:rsidRPr="001720D6">
        <w:rPr>
          <w:rFonts w:ascii="Arial" w:eastAsia="Calibri" w:hAnsi="Arial" w:cs="Arial"/>
          <w:bCs/>
        </w:rPr>
        <w:t>expectativas de</w:t>
      </w:r>
      <w:r w:rsidR="00471568" w:rsidRPr="001720D6">
        <w:rPr>
          <w:rFonts w:ascii="Arial" w:eastAsia="Calibri" w:hAnsi="Arial" w:cs="Arial"/>
          <w:bCs/>
        </w:rPr>
        <w:t xml:space="preserve"> derecho. </w:t>
      </w:r>
    </w:p>
    <w:p w14:paraId="3409A0F7" w14:textId="77777777" w:rsidR="00DA2871" w:rsidRPr="001720D6" w:rsidRDefault="00DA2871" w:rsidP="001720D6">
      <w:pPr>
        <w:spacing w:line="360" w:lineRule="auto"/>
        <w:ind w:left="284" w:right="333" w:firstLine="425"/>
        <w:jc w:val="both"/>
        <w:rPr>
          <w:rFonts w:ascii="Arial" w:eastAsia="Calibri" w:hAnsi="Arial" w:cs="Arial"/>
          <w:bCs/>
        </w:rPr>
      </w:pPr>
    </w:p>
    <w:p w14:paraId="3617B12C" w14:textId="19F6FEE3" w:rsidR="00471568" w:rsidRPr="001720D6" w:rsidRDefault="00471568" w:rsidP="00B7107F">
      <w:pPr>
        <w:spacing w:line="360" w:lineRule="auto"/>
        <w:ind w:left="284" w:right="333"/>
        <w:jc w:val="both"/>
        <w:rPr>
          <w:rFonts w:ascii="Arial" w:eastAsia="Calibri" w:hAnsi="Arial" w:cs="Arial"/>
          <w:bCs/>
        </w:rPr>
      </w:pPr>
      <w:r w:rsidRPr="001720D6">
        <w:rPr>
          <w:rFonts w:ascii="Arial" w:eastAsia="Calibri" w:hAnsi="Arial" w:cs="Arial"/>
          <w:bCs/>
        </w:rPr>
        <w:t xml:space="preserve">En </w:t>
      </w:r>
      <w:r w:rsidR="00FD2DA3" w:rsidRPr="001720D6">
        <w:rPr>
          <w:rFonts w:ascii="Arial" w:eastAsia="Calibri" w:hAnsi="Arial" w:cs="Arial"/>
          <w:bCs/>
        </w:rPr>
        <w:t>el caso</w:t>
      </w:r>
      <w:r w:rsidRPr="001720D6">
        <w:rPr>
          <w:rFonts w:ascii="Arial" w:eastAsia="Calibri" w:hAnsi="Arial" w:cs="Arial"/>
          <w:bCs/>
        </w:rPr>
        <w:t xml:space="preserve"> en particular, quedo justificado, que el actor </w:t>
      </w:r>
      <w:r w:rsidR="00FD2DA3" w:rsidRPr="001720D6">
        <w:rPr>
          <w:rFonts w:ascii="Arial" w:eastAsia="Calibri" w:hAnsi="Arial" w:cs="Arial"/>
          <w:bCs/>
        </w:rPr>
        <w:t>inicio</w:t>
      </w:r>
      <w:r w:rsidRPr="001720D6">
        <w:rPr>
          <w:rFonts w:ascii="Arial" w:eastAsia="Calibri" w:hAnsi="Arial" w:cs="Arial"/>
          <w:bCs/>
        </w:rPr>
        <w:t xml:space="preserve"> su vida laboral co</w:t>
      </w:r>
      <w:r w:rsidR="00DA2871" w:rsidRPr="001720D6">
        <w:rPr>
          <w:rFonts w:ascii="Arial" w:eastAsia="Calibri" w:hAnsi="Arial" w:cs="Arial"/>
          <w:bCs/>
        </w:rPr>
        <w:t>n nombramiento otorgado por el Gobierno del E</w:t>
      </w:r>
      <w:r w:rsidRPr="001720D6">
        <w:rPr>
          <w:rFonts w:ascii="Arial" w:eastAsia="Calibri" w:hAnsi="Arial" w:cs="Arial"/>
          <w:bCs/>
        </w:rPr>
        <w:t>stado de Oaxaca,</w:t>
      </w:r>
      <w:r w:rsidR="00FD2DA3" w:rsidRPr="001720D6">
        <w:rPr>
          <w:rFonts w:ascii="Arial" w:eastAsia="Calibri" w:hAnsi="Arial" w:cs="Arial"/>
          <w:bCs/>
        </w:rPr>
        <w:t xml:space="preserve"> el día uno de enero de </w:t>
      </w:r>
      <w:r w:rsidRPr="001720D6">
        <w:rPr>
          <w:rFonts w:ascii="Arial" w:eastAsia="Calibri" w:hAnsi="Arial" w:cs="Arial"/>
          <w:bCs/>
        </w:rPr>
        <w:t xml:space="preserve"> mil novecientos setenta y nueve (01/01/1979), foja 25 de autos, por lo que para el año dos mil nueve, el actor </w:t>
      </w:r>
      <w:r w:rsidR="00FD2DA3" w:rsidRPr="001720D6">
        <w:rPr>
          <w:rFonts w:ascii="Arial" w:eastAsia="Calibri" w:hAnsi="Arial" w:cs="Arial"/>
          <w:bCs/>
        </w:rPr>
        <w:t>cumplió</w:t>
      </w:r>
      <w:r w:rsidRPr="001720D6">
        <w:rPr>
          <w:rFonts w:ascii="Arial" w:eastAsia="Calibri" w:hAnsi="Arial" w:cs="Arial"/>
          <w:bCs/>
        </w:rPr>
        <w:t xml:space="preserve"> treinta años de vida laboral, como acertadamente lo refirió en su demanda, se destaca el hecho, porque en ese año, dos mil nueve</w:t>
      </w:r>
      <w:r w:rsidR="00DA2871" w:rsidRPr="001720D6">
        <w:rPr>
          <w:rFonts w:ascii="Arial" w:eastAsia="Calibri" w:hAnsi="Arial" w:cs="Arial"/>
          <w:bCs/>
        </w:rPr>
        <w:t>, se encontraba vigente aun la Ley de Pensiones para los E</w:t>
      </w:r>
      <w:r w:rsidRPr="001720D6">
        <w:rPr>
          <w:rFonts w:ascii="Arial" w:eastAsia="Calibri" w:hAnsi="Arial" w:cs="Arial"/>
          <w:bCs/>
        </w:rPr>
        <w:t>mp</w:t>
      </w:r>
      <w:r w:rsidR="00DA2871" w:rsidRPr="001720D6">
        <w:rPr>
          <w:rFonts w:ascii="Arial" w:eastAsia="Calibri" w:hAnsi="Arial" w:cs="Arial"/>
          <w:bCs/>
        </w:rPr>
        <w:t>leados del Gobierno del E</w:t>
      </w:r>
      <w:r w:rsidRPr="001720D6">
        <w:rPr>
          <w:rFonts w:ascii="Arial" w:eastAsia="Calibri" w:hAnsi="Arial" w:cs="Arial"/>
          <w:bCs/>
        </w:rPr>
        <w:t xml:space="preserve">stado de Oaxaca, y en dicha normatividad, en el </w:t>
      </w:r>
      <w:r w:rsidR="00FD2DA3" w:rsidRPr="001720D6">
        <w:rPr>
          <w:rFonts w:ascii="Arial" w:eastAsia="Calibri" w:hAnsi="Arial" w:cs="Arial"/>
          <w:bCs/>
        </w:rPr>
        <w:t>artículo</w:t>
      </w:r>
      <w:r w:rsidRPr="001720D6">
        <w:rPr>
          <w:rFonts w:ascii="Arial" w:eastAsia="Calibri" w:hAnsi="Arial" w:cs="Arial"/>
          <w:bCs/>
        </w:rPr>
        <w:t xml:space="preserve"> 35, disponía, que cuando un trabajador justificara haber prestado servicios durante treinta años o </w:t>
      </w:r>
      <w:r w:rsidR="00FD2DA3" w:rsidRPr="001720D6">
        <w:rPr>
          <w:rFonts w:ascii="Arial" w:eastAsia="Calibri" w:hAnsi="Arial" w:cs="Arial"/>
          <w:bCs/>
        </w:rPr>
        <w:t>más</w:t>
      </w:r>
      <w:r w:rsidRPr="001720D6">
        <w:rPr>
          <w:rFonts w:ascii="Arial" w:eastAsia="Calibri" w:hAnsi="Arial" w:cs="Arial"/>
          <w:bCs/>
        </w:rPr>
        <w:t xml:space="preserve">, y este al corriente en su contribución al referido fondo, se le concederá </w:t>
      </w:r>
      <w:r w:rsidR="00FD2DA3" w:rsidRPr="001720D6">
        <w:rPr>
          <w:rFonts w:ascii="Arial" w:eastAsia="Calibri" w:hAnsi="Arial" w:cs="Arial"/>
          <w:bCs/>
        </w:rPr>
        <w:t>pensión</w:t>
      </w:r>
      <w:r w:rsidRPr="001720D6">
        <w:rPr>
          <w:rFonts w:ascii="Arial" w:eastAsia="Calibri" w:hAnsi="Arial" w:cs="Arial"/>
          <w:bCs/>
        </w:rPr>
        <w:t xml:space="preserve"> </w:t>
      </w:r>
      <w:r w:rsidR="00FD2DA3" w:rsidRPr="001720D6">
        <w:rPr>
          <w:rFonts w:ascii="Arial" w:eastAsia="Calibri" w:hAnsi="Arial" w:cs="Arial"/>
          <w:bCs/>
        </w:rPr>
        <w:t>independientemente</w:t>
      </w:r>
      <w:r w:rsidRPr="001720D6">
        <w:rPr>
          <w:rFonts w:ascii="Arial" w:eastAsia="Calibri" w:hAnsi="Arial" w:cs="Arial"/>
          <w:bCs/>
        </w:rPr>
        <w:t xml:space="preserve"> de su edad; además, y correlacionado este </w:t>
      </w:r>
      <w:r w:rsidR="00FD2DA3" w:rsidRPr="001720D6">
        <w:rPr>
          <w:rFonts w:ascii="Arial" w:eastAsia="Calibri" w:hAnsi="Arial" w:cs="Arial"/>
          <w:bCs/>
        </w:rPr>
        <w:t>artículo</w:t>
      </w:r>
      <w:r w:rsidRPr="001720D6">
        <w:rPr>
          <w:rFonts w:ascii="Arial" w:eastAsia="Calibri" w:hAnsi="Arial" w:cs="Arial"/>
          <w:bCs/>
        </w:rPr>
        <w:t xml:space="preserve">, con el 56 </w:t>
      </w:r>
      <w:r w:rsidR="00FD2DA3" w:rsidRPr="001720D6">
        <w:rPr>
          <w:rFonts w:ascii="Arial" w:eastAsia="Calibri" w:hAnsi="Arial" w:cs="Arial"/>
          <w:bCs/>
        </w:rPr>
        <w:t>fracción</w:t>
      </w:r>
      <w:r w:rsidRPr="001720D6">
        <w:rPr>
          <w:rFonts w:ascii="Arial" w:eastAsia="Calibri" w:hAnsi="Arial" w:cs="Arial"/>
          <w:bCs/>
        </w:rPr>
        <w:t xml:space="preserve"> I, de la misma Ley, </w:t>
      </w:r>
      <w:r w:rsidR="00FD2DA3" w:rsidRPr="001720D6">
        <w:rPr>
          <w:rFonts w:ascii="Arial" w:eastAsia="Calibri" w:hAnsi="Arial" w:cs="Arial"/>
          <w:bCs/>
        </w:rPr>
        <w:t>debió</w:t>
      </w:r>
      <w:r w:rsidRPr="001720D6">
        <w:rPr>
          <w:rFonts w:ascii="Arial" w:eastAsia="Calibri" w:hAnsi="Arial" w:cs="Arial"/>
          <w:bCs/>
        </w:rPr>
        <w:t xml:space="preserve"> aplicarse un monto del 100% de </w:t>
      </w:r>
      <w:r w:rsidR="00FD2DA3" w:rsidRPr="001720D6">
        <w:rPr>
          <w:rFonts w:ascii="Arial" w:eastAsia="Calibri" w:hAnsi="Arial" w:cs="Arial"/>
          <w:bCs/>
        </w:rPr>
        <w:t>pensión</w:t>
      </w:r>
      <w:r w:rsidRPr="001720D6">
        <w:rPr>
          <w:rFonts w:ascii="Arial" w:eastAsia="Calibri" w:hAnsi="Arial" w:cs="Arial"/>
          <w:bCs/>
        </w:rPr>
        <w:t xml:space="preserve">, </w:t>
      </w:r>
      <w:r w:rsidR="00FD2DA3" w:rsidRPr="001720D6">
        <w:rPr>
          <w:rFonts w:ascii="Arial" w:eastAsia="Calibri" w:hAnsi="Arial" w:cs="Arial"/>
          <w:bCs/>
        </w:rPr>
        <w:t>correspondiente</w:t>
      </w:r>
      <w:r w:rsidRPr="001720D6">
        <w:rPr>
          <w:rFonts w:ascii="Arial" w:eastAsia="Calibri" w:hAnsi="Arial" w:cs="Arial"/>
          <w:bCs/>
        </w:rPr>
        <w:t xml:space="preserve"> a treinta años de servicio, consecuentemente, al año dos mil nueve, </w:t>
      </w:r>
      <w:r w:rsidRPr="001720D6">
        <w:rPr>
          <w:rFonts w:ascii="Arial" w:eastAsia="Calibri" w:hAnsi="Arial" w:cs="Arial"/>
          <w:b/>
          <w:bCs/>
        </w:rPr>
        <w:t xml:space="preserve">el actor </w:t>
      </w:r>
      <w:r w:rsidR="00FD2DA3" w:rsidRPr="001720D6">
        <w:rPr>
          <w:rFonts w:ascii="Arial" w:eastAsia="Calibri" w:hAnsi="Arial" w:cs="Arial"/>
          <w:b/>
          <w:bCs/>
        </w:rPr>
        <w:t>tenía</w:t>
      </w:r>
      <w:r w:rsidRPr="001720D6">
        <w:rPr>
          <w:rFonts w:ascii="Arial" w:eastAsia="Calibri" w:hAnsi="Arial" w:cs="Arial"/>
          <w:b/>
          <w:bCs/>
        </w:rPr>
        <w:t xml:space="preserve"> un derecho adquirido</w:t>
      </w:r>
      <w:r w:rsidRPr="001720D6">
        <w:rPr>
          <w:rFonts w:ascii="Arial" w:eastAsia="Calibri" w:hAnsi="Arial" w:cs="Arial"/>
          <w:bCs/>
        </w:rPr>
        <w:t xml:space="preserve"> para obtener una </w:t>
      </w:r>
      <w:r w:rsidR="00FD2DA3" w:rsidRPr="001720D6">
        <w:rPr>
          <w:rFonts w:ascii="Arial" w:eastAsia="Calibri" w:hAnsi="Arial" w:cs="Arial"/>
          <w:bCs/>
        </w:rPr>
        <w:t>pensión</w:t>
      </w:r>
      <w:r w:rsidRPr="001720D6">
        <w:rPr>
          <w:rFonts w:ascii="Arial" w:eastAsia="Calibri" w:hAnsi="Arial" w:cs="Arial"/>
          <w:bCs/>
        </w:rPr>
        <w:t xml:space="preserve"> por jubilación del 100% por lo que ese derecho adquirido, no puede ser afectado por </w:t>
      </w:r>
      <w:r w:rsidR="008152EF">
        <w:rPr>
          <w:rFonts w:ascii="Arial" w:eastAsia="Calibri" w:hAnsi="Arial" w:cs="Arial"/>
          <w:bCs/>
        </w:rPr>
        <w:t>dispo</w:t>
      </w:r>
      <w:r w:rsidR="008152EF" w:rsidRPr="001720D6">
        <w:rPr>
          <w:rFonts w:ascii="Arial" w:eastAsia="Calibri" w:hAnsi="Arial" w:cs="Arial"/>
          <w:bCs/>
        </w:rPr>
        <w:t>si</w:t>
      </w:r>
      <w:r w:rsidR="008152EF">
        <w:rPr>
          <w:rFonts w:ascii="Arial" w:eastAsia="Calibri" w:hAnsi="Arial" w:cs="Arial"/>
          <w:bCs/>
        </w:rPr>
        <w:t>ci</w:t>
      </w:r>
      <w:r w:rsidR="008152EF" w:rsidRPr="001720D6">
        <w:rPr>
          <w:rFonts w:ascii="Arial" w:eastAsia="Calibri" w:hAnsi="Arial" w:cs="Arial"/>
          <w:bCs/>
        </w:rPr>
        <w:t>ón</w:t>
      </w:r>
      <w:r w:rsidRPr="001720D6">
        <w:rPr>
          <w:rFonts w:ascii="Arial" w:eastAsia="Calibri" w:hAnsi="Arial" w:cs="Arial"/>
          <w:bCs/>
        </w:rPr>
        <w:t xml:space="preserve"> legal en contrario, tal criterio ha sido sustentado por el más</w:t>
      </w:r>
      <w:r w:rsidR="00DA2871" w:rsidRPr="001720D6">
        <w:rPr>
          <w:rFonts w:ascii="Arial" w:eastAsia="Calibri" w:hAnsi="Arial" w:cs="Arial"/>
          <w:bCs/>
        </w:rPr>
        <w:t xml:space="preserve"> alto T</w:t>
      </w:r>
      <w:r w:rsidRPr="001720D6">
        <w:rPr>
          <w:rFonts w:ascii="Arial" w:eastAsia="Calibri" w:hAnsi="Arial" w:cs="Arial"/>
          <w:bCs/>
        </w:rPr>
        <w:t xml:space="preserve">ribunal del país. </w:t>
      </w:r>
    </w:p>
    <w:p w14:paraId="7070E271" w14:textId="77777777" w:rsidR="00DA2871" w:rsidRPr="001720D6" w:rsidRDefault="00DA2871" w:rsidP="001720D6">
      <w:pPr>
        <w:spacing w:line="360" w:lineRule="auto"/>
        <w:ind w:right="333"/>
        <w:jc w:val="both"/>
        <w:rPr>
          <w:rFonts w:ascii="Arial" w:eastAsia="Calibri" w:hAnsi="Arial" w:cs="Arial"/>
          <w:bCs/>
        </w:rPr>
      </w:pPr>
    </w:p>
    <w:p w14:paraId="357D809D" w14:textId="0B681673" w:rsidR="00471568" w:rsidRPr="001720D6" w:rsidRDefault="00471568" w:rsidP="00B7107F">
      <w:pPr>
        <w:spacing w:line="360" w:lineRule="auto"/>
        <w:ind w:left="284" w:right="333" w:firstLine="283"/>
        <w:jc w:val="both"/>
        <w:rPr>
          <w:rFonts w:ascii="Arial" w:eastAsia="Calibri" w:hAnsi="Arial" w:cs="Arial"/>
          <w:bCs/>
        </w:rPr>
      </w:pPr>
      <w:r w:rsidRPr="001720D6">
        <w:rPr>
          <w:rFonts w:ascii="Arial" w:eastAsia="Calibri" w:hAnsi="Arial" w:cs="Arial"/>
          <w:bCs/>
        </w:rPr>
        <w:t xml:space="preserve">Ahora bien, tomando en consideración </w:t>
      </w:r>
      <w:r w:rsidRPr="001720D6">
        <w:rPr>
          <w:rFonts w:ascii="Arial" w:eastAsia="Calibri" w:hAnsi="Arial" w:cs="Arial"/>
          <w:b/>
          <w:bCs/>
        </w:rPr>
        <w:t>la teoría de los componentes de la norma</w:t>
      </w:r>
      <w:r w:rsidR="00DA2871" w:rsidRPr="001720D6">
        <w:rPr>
          <w:rFonts w:ascii="Arial" w:eastAsia="Calibri" w:hAnsi="Arial" w:cs="Arial"/>
          <w:bCs/>
        </w:rPr>
        <w:t xml:space="preserve"> la Suprema Corte de J</w:t>
      </w:r>
      <w:r w:rsidRPr="001720D6">
        <w:rPr>
          <w:rFonts w:ascii="Arial" w:eastAsia="Calibri" w:hAnsi="Arial" w:cs="Arial"/>
          <w:bCs/>
        </w:rPr>
        <w:t xml:space="preserve">usticia de la </w:t>
      </w:r>
      <w:r w:rsidR="00DA2871" w:rsidRPr="001720D6">
        <w:rPr>
          <w:rFonts w:ascii="Arial" w:eastAsia="Calibri" w:hAnsi="Arial" w:cs="Arial"/>
          <w:bCs/>
        </w:rPr>
        <w:t>N</w:t>
      </w:r>
      <w:r w:rsidRPr="001720D6">
        <w:rPr>
          <w:rFonts w:ascii="Arial" w:eastAsia="Calibri" w:hAnsi="Arial" w:cs="Arial"/>
          <w:bCs/>
        </w:rPr>
        <w:t xml:space="preserve">ación ha considerado, que toda norma jurídica contiene un supuesto y una consecuencia, en el que si el supuesto se realiza, la consecuencia debe producirse, generándose </w:t>
      </w:r>
      <w:r w:rsidR="00FD2DA3" w:rsidRPr="001720D6">
        <w:rPr>
          <w:rFonts w:ascii="Arial" w:eastAsia="Calibri" w:hAnsi="Arial" w:cs="Arial"/>
          <w:bCs/>
        </w:rPr>
        <w:t>así</w:t>
      </w:r>
      <w:r w:rsidRPr="001720D6">
        <w:rPr>
          <w:rFonts w:ascii="Arial" w:eastAsia="Calibri" w:hAnsi="Arial" w:cs="Arial"/>
          <w:bCs/>
        </w:rPr>
        <w:t xml:space="preserve"> los </w:t>
      </w:r>
      <w:r w:rsidRPr="001720D6">
        <w:rPr>
          <w:rFonts w:ascii="Arial" w:eastAsia="Calibri" w:hAnsi="Arial" w:cs="Arial"/>
          <w:bCs/>
        </w:rPr>
        <w:lastRenderedPageBreak/>
        <w:t xml:space="preserve">derechos y obligaciones correspondientes; sin embargo, el supuesto y la </w:t>
      </w:r>
      <w:r w:rsidR="00FD2DA3" w:rsidRPr="001720D6">
        <w:rPr>
          <w:rFonts w:ascii="Arial" w:eastAsia="Calibri" w:hAnsi="Arial" w:cs="Arial"/>
          <w:bCs/>
        </w:rPr>
        <w:t xml:space="preserve">consecuencia no siempre se generan de modo inmediato, pues puede suceder que su realización ocurra fraccionada en el tiempo, por lo que para que se pueda analizar la figura de la retroactividad o irretroactividad de las normas, para ello es necesario analizar las siguientes hipótesis que pueden llegar a generase a través del tiempo, como lo prevé en lasa siguientes hipótesis: </w:t>
      </w:r>
    </w:p>
    <w:p w14:paraId="3331E503" w14:textId="77777777" w:rsidR="00DA2871" w:rsidRPr="001720D6" w:rsidRDefault="00DA2871" w:rsidP="001720D6">
      <w:pPr>
        <w:spacing w:line="360" w:lineRule="auto"/>
        <w:ind w:left="567" w:right="333"/>
        <w:jc w:val="both"/>
        <w:rPr>
          <w:rFonts w:ascii="Arial" w:eastAsia="Calibri" w:hAnsi="Arial" w:cs="Arial"/>
          <w:bCs/>
        </w:rPr>
      </w:pPr>
    </w:p>
    <w:p w14:paraId="71E20CA8" w14:textId="7CC38994" w:rsidR="00FD2DA3" w:rsidRPr="001720D6" w:rsidRDefault="00FD2DA3" w:rsidP="001720D6">
      <w:pPr>
        <w:pStyle w:val="Prrafodelista"/>
        <w:numPr>
          <w:ilvl w:val="0"/>
          <w:numId w:val="19"/>
        </w:numPr>
        <w:spacing w:line="360" w:lineRule="auto"/>
        <w:ind w:right="333"/>
        <w:jc w:val="both"/>
        <w:rPr>
          <w:rFonts w:ascii="Arial" w:eastAsia="Calibri" w:hAnsi="Arial" w:cs="Arial"/>
          <w:bCs/>
        </w:rPr>
      </w:pPr>
      <w:r w:rsidRPr="001720D6">
        <w:rPr>
          <w:rFonts w:ascii="Arial" w:eastAsia="Calibri" w:hAnsi="Arial" w:cs="Arial"/>
          <w:bCs/>
        </w:rPr>
        <w:t xml:space="preserve">Cuando durante la vigencia de una norma jurídica se actualizan de modo inmediato el supuesto y la consecuencia en ella regulados, no se puede variar, suprimir o modificar ese supuesto o la consecuencia, sin violar la vida jurídica con </w:t>
      </w:r>
      <w:r w:rsidR="00683AC4" w:rsidRPr="001720D6">
        <w:rPr>
          <w:rFonts w:ascii="Arial" w:eastAsia="Calibri" w:hAnsi="Arial" w:cs="Arial"/>
          <w:bCs/>
        </w:rPr>
        <w:t>anterioridad</w:t>
      </w:r>
      <w:r w:rsidRPr="001720D6">
        <w:rPr>
          <w:rFonts w:ascii="Arial" w:eastAsia="Calibri" w:hAnsi="Arial" w:cs="Arial"/>
          <w:bCs/>
        </w:rPr>
        <w:t xml:space="preserve"> a la entrada en vigor de una nueva ley; </w:t>
      </w:r>
    </w:p>
    <w:p w14:paraId="1C2B7683" w14:textId="77777777" w:rsidR="00DA2871" w:rsidRPr="001720D6" w:rsidRDefault="00DA2871" w:rsidP="001720D6">
      <w:pPr>
        <w:pStyle w:val="Prrafodelista"/>
        <w:spacing w:line="360" w:lineRule="auto"/>
        <w:ind w:left="927" w:right="333"/>
        <w:jc w:val="both"/>
        <w:rPr>
          <w:rFonts w:ascii="Arial" w:eastAsia="Calibri" w:hAnsi="Arial" w:cs="Arial"/>
          <w:bCs/>
        </w:rPr>
      </w:pPr>
    </w:p>
    <w:p w14:paraId="4A6E51F0" w14:textId="2EF9B0C5" w:rsidR="00DA2871" w:rsidRDefault="00FD2DA3" w:rsidP="00B7107F">
      <w:pPr>
        <w:pStyle w:val="Prrafodelista"/>
        <w:numPr>
          <w:ilvl w:val="0"/>
          <w:numId w:val="19"/>
        </w:numPr>
        <w:spacing w:line="360" w:lineRule="auto"/>
        <w:ind w:right="333"/>
        <w:jc w:val="both"/>
        <w:rPr>
          <w:rFonts w:ascii="Arial" w:eastAsia="Calibri" w:hAnsi="Arial" w:cs="Arial"/>
          <w:bCs/>
        </w:rPr>
      </w:pPr>
      <w:r w:rsidRPr="001720D6">
        <w:rPr>
          <w:rFonts w:ascii="Arial" w:eastAsia="Calibri" w:hAnsi="Arial" w:cs="Arial"/>
          <w:bCs/>
        </w:rPr>
        <w:t xml:space="preserve"> Cuando la norma jurídica establece </w:t>
      </w:r>
      <w:r w:rsidR="00683AC4" w:rsidRPr="001720D6">
        <w:rPr>
          <w:rFonts w:ascii="Arial" w:eastAsia="Calibri" w:hAnsi="Arial" w:cs="Arial"/>
          <w:bCs/>
        </w:rPr>
        <w:t>un</w:t>
      </w:r>
      <w:r w:rsidRPr="001720D6">
        <w:rPr>
          <w:rFonts w:ascii="Arial" w:eastAsia="Calibri" w:hAnsi="Arial" w:cs="Arial"/>
          <w:bCs/>
        </w:rPr>
        <w:t xml:space="preserve"> supuesto y varias consecuencias sucesivas. Si el supuesto y algunas de las consecuencias se realizan bajo la vigilancia de una ley, quedando pendientes alguna de las consecuencias jurídicas al momento de entrar en vigor una nueva disposición jurídica, dicha ley podría modificar el supuesto ni las consecuencias ya realizadas; </w:t>
      </w:r>
    </w:p>
    <w:p w14:paraId="4B6B27E7" w14:textId="77777777" w:rsidR="00B7107F" w:rsidRPr="00B7107F" w:rsidRDefault="00B7107F" w:rsidP="00B7107F">
      <w:pPr>
        <w:pStyle w:val="Prrafodelista"/>
        <w:rPr>
          <w:rFonts w:ascii="Arial" w:eastAsia="Calibri" w:hAnsi="Arial" w:cs="Arial"/>
          <w:bCs/>
        </w:rPr>
      </w:pPr>
    </w:p>
    <w:p w14:paraId="3BFF479D" w14:textId="77777777" w:rsidR="00B7107F" w:rsidRPr="00B7107F" w:rsidRDefault="00B7107F" w:rsidP="00B7107F">
      <w:pPr>
        <w:pStyle w:val="Prrafodelista"/>
        <w:spacing w:line="360" w:lineRule="auto"/>
        <w:ind w:left="927" w:right="333"/>
        <w:jc w:val="both"/>
        <w:rPr>
          <w:rFonts w:ascii="Arial" w:eastAsia="Calibri" w:hAnsi="Arial" w:cs="Arial"/>
          <w:bCs/>
        </w:rPr>
      </w:pPr>
    </w:p>
    <w:p w14:paraId="25DFE7D2" w14:textId="7BFD1D47" w:rsidR="00FD2DA3" w:rsidRPr="001720D6" w:rsidRDefault="00FD2DA3" w:rsidP="001720D6">
      <w:pPr>
        <w:pStyle w:val="Prrafodelista"/>
        <w:numPr>
          <w:ilvl w:val="0"/>
          <w:numId w:val="19"/>
        </w:numPr>
        <w:spacing w:line="360" w:lineRule="auto"/>
        <w:ind w:right="333"/>
        <w:jc w:val="both"/>
        <w:rPr>
          <w:rFonts w:ascii="Arial" w:eastAsia="Calibri" w:hAnsi="Arial" w:cs="Arial"/>
          <w:bCs/>
        </w:rPr>
      </w:pPr>
      <w:r w:rsidRPr="001720D6">
        <w:rPr>
          <w:rFonts w:ascii="Arial" w:eastAsia="Calibri" w:hAnsi="Arial" w:cs="Arial"/>
          <w:bCs/>
        </w:rPr>
        <w:t xml:space="preserve">Cuando la realización de alguna o algunas de las consecuencias de la ley anterior no se producen durante su </w:t>
      </w:r>
      <w:r w:rsidR="00683AC4" w:rsidRPr="001720D6">
        <w:rPr>
          <w:rFonts w:ascii="Arial" w:eastAsia="Calibri" w:hAnsi="Arial" w:cs="Arial"/>
          <w:bCs/>
        </w:rPr>
        <w:t>vigencia</w:t>
      </w:r>
      <w:r w:rsidRPr="001720D6">
        <w:rPr>
          <w:rFonts w:ascii="Arial" w:eastAsia="Calibri" w:hAnsi="Arial" w:cs="Arial"/>
          <w:bCs/>
        </w:rPr>
        <w:t xml:space="preserve">, pero cuya realización no depende de los supuestos previstos en esa ley, sino únicamente estaban diferidas en el tiempo por el establecimiento de un plazo o termino especifico, en este caso la nueva </w:t>
      </w:r>
      <w:r w:rsidR="00683AC4" w:rsidRPr="001720D6">
        <w:rPr>
          <w:rFonts w:ascii="Arial" w:eastAsia="Calibri" w:hAnsi="Arial" w:cs="Arial"/>
          <w:bCs/>
        </w:rPr>
        <w:t>disposición</w:t>
      </w:r>
      <w:r w:rsidRPr="001720D6">
        <w:rPr>
          <w:rFonts w:ascii="Arial" w:eastAsia="Calibri" w:hAnsi="Arial" w:cs="Arial"/>
          <w:bCs/>
        </w:rPr>
        <w:t xml:space="preserve"> tampoco podría suprimir, </w:t>
      </w:r>
      <w:r w:rsidR="00683AC4" w:rsidRPr="001720D6">
        <w:rPr>
          <w:rFonts w:ascii="Arial" w:eastAsia="Calibri" w:hAnsi="Arial" w:cs="Arial"/>
          <w:bCs/>
        </w:rPr>
        <w:t>modificar</w:t>
      </w:r>
      <w:r w:rsidRPr="001720D6">
        <w:rPr>
          <w:rFonts w:ascii="Arial" w:eastAsia="Calibri" w:hAnsi="Arial" w:cs="Arial"/>
          <w:bCs/>
        </w:rPr>
        <w:t xml:space="preserve"> o condicionar las </w:t>
      </w:r>
      <w:r w:rsidR="00683AC4" w:rsidRPr="001720D6">
        <w:rPr>
          <w:rFonts w:ascii="Arial" w:eastAsia="Calibri" w:hAnsi="Arial" w:cs="Arial"/>
          <w:bCs/>
        </w:rPr>
        <w:t>consecuencias</w:t>
      </w:r>
      <w:r w:rsidRPr="001720D6">
        <w:rPr>
          <w:rFonts w:ascii="Arial" w:eastAsia="Calibri" w:hAnsi="Arial" w:cs="Arial"/>
          <w:bCs/>
        </w:rPr>
        <w:t xml:space="preserve"> no realizadas, toda vez que estas últimamente no están supeditadas a las </w:t>
      </w:r>
      <w:r w:rsidR="00683AC4" w:rsidRPr="001720D6">
        <w:rPr>
          <w:rFonts w:ascii="Arial" w:eastAsia="Calibri" w:hAnsi="Arial" w:cs="Arial"/>
          <w:bCs/>
        </w:rPr>
        <w:t>señaladas</w:t>
      </w:r>
      <w:r w:rsidRPr="001720D6">
        <w:rPr>
          <w:rFonts w:ascii="Arial" w:eastAsia="Calibri" w:hAnsi="Arial" w:cs="Arial"/>
          <w:bCs/>
        </w:rPr>
        <w:t xml:space="preserve"> en la nueva ley.</w:t>
      </w:r>
    </w:p>
    <w:p w14:paraId="0576E91F" w14:textId="77777777" w:rsidR="00DA2871" w:rsidRPr="001720D6" w:rsidRDefault="00DA2871" w:rsidP="001720D6">
      <w:pPr>
        <w:pStyle w:val="Prrafodelista"/>
        <w:tabs>
          <w:tab w:val="left" w:pos="7797"/>
        </w:tabs>
        <w:spacing w:line="360" w:lineRule="auto"/>
        <w:ind w:left="927" w:right="333"/>
        <w:jc w:val="both"/>
        <w:rPr>
          <w:rFonts w:ascii="Arial" w:eastAsia="Calibri" w:hAnsi="Arial" w:cs="Arial"/>
          <w:bCs/>
        </w:rPr>
      </w:pPr>
    </w:p>
    <w:p w14:paraId="7B3209F8" w14:textId="701B292C" w:rsidR="00FD2DA3" w:rsidRPr="001720D6" w:rsidRDefault="00FD2DA3" w:rsidP="001720D6">
      <w:pPr>
        <w:pStyle w:val="Prrafodelista"/>
        <w:numPr>
          <w:ilvl w:val="0"/>
          <w:numId w:val="19"/>
        </w:numPr>
        <w:spacing w:line="360" w:lineRule="auto"/>
        <w:ind w:right="333"/>
        <w:jc w:val="both"/>
        <w:rPr>
          <w:rFonts w:ascii="Arial" w:eastAsia="Calibri" w:hAnsi="Arial" w:cs="Arial"/>
          <w:bCs/>
        </w:rPr>
      </w:pPr>
      <w:r w:rsidRPr="001720D6">
        <w:rPr>
          <w:rFonts w:ascii="Arial" w:eastAsia="Calibri" w:hAnsi="Arial" w:cs="Arial"/>
          <w:bCs/>
        </w:rPr>
        <w:t xml:space="preserve"> Cuando para la </w:t>
      </w:r>
      <w:r w:rsidR="00683AC4" w:rsidRPr="001720D6">
        <w:rPr>
          <w:rFonts w:ascii="Arial" w:eastAsia="Calibri" w:hAnsi="Arial" w:cs="Arial"/>
          <w:bCs/>
        </w:rPr>
        <w:t>ejecuciones</w:t>
      </w:r>
      <w:r w:rsidRPr="001720D6">
        <w:rPr>
          <w:rFonts w:ascii="Arial" w:eastAsia="Calibri" w:hAnsi="Arial" w:cs="Arial"/>
          <w:bCs/>
        </w:rPr>
        <w:t xml:space="preserve"> realización de las consecuencias previstas en la </w:t>
      </w:r>
      <w:r w:rsidR="00683AC4" w:rsidRPr="001720D6">
        <w:rPr>
          <w:rFonts w:ascii="Arial" w:eastAsia="Calibri" w:hAnsi="Arial" w:cs="Arial"/>
          <w:bCs/>
        </w:rPr>
        <w:t>disposición</w:t>
      </w:r>
      <w:r w:rsidRPr="001720D6">
        <w:rPr>
          <w:rFonts w:ascii="Arial" w:eastAsia="Calibri" w:hAnsi="Arial" w:cs="Arial"/>
          <w:bCs/>
        </w:rPr>
        <w:t xml:space="preserve"> anterior, pendiente de producirse, es </w:t>
      </w:r>
      <w:r w:rsidR="00683AC4" w:rsidRPr="001720D6">
        <w:rPr>
          <w:rFonts w:ascii="Arial" w:eastAsia="Calibri" w:hAnsi="Arial" w:cs="Arial"/>
          <w:bCs/>
        </w:rPr>
        <w:t>necesario</w:t>
      </w:r>
      <w:r w:rsidRPr="001720D6">
        <w:rPr>
          <w:rFonts w:ascii="Arial" w:eastAsia="Calibri" w:hAnsi="Arial" w:cs="Arial"/>
          <w:bCs/>
        </w:rPr>
        <w:t xml:space="preserve"> que los supuestos señalamientos en la misma se realicen </w:t>
      </w:r>
      <w:r w:rsidR="00683AC4" w:rsidRPr="001720D6">
        <w:rPr>
          <w:rFonts w:ascii="Arial" w:eastAsia="Calibri" w:hAnsi="Arial" w:cs="Arial"/>
          <w:bCs/>
        </w:rPr>
        <w:t>después</w:t>
      </w:r>
      <w:r w:rsidRPr="001720D6">
        <w:rPr>
          <w:rFonts w:ascii="Arial" w:eastAsia="Calibri" w:hAnsi="Arial" w:cs="Arial"/>
          <w:bCs/>
        </w:rPr>
        <w:t xml:space="preserve"> de que entro en vigor la </w:t>
      </w:r>
      <w:r w:rsidR="00683AC4" w:rsidRPr="001720D6">
        <w:rPr>
          <w:rFonts w:ascii="Arial" w:eastAsia="Calibri" w:hAnsi="Arial" w:cs="Arial"/>
          <w:bCs/>
        </w:rPr>
        <w:t>nueva</w:t>
      </w:r>
      <w:r w:rsidRPr="001720D6">
        <w:rPr>
          <w:rFonts w:ascii="Arial" w:eastAsia="Calibri" w:hAnsi="Arial" w:cs="Arial"/>
          <w:bCs/>
        </w:rPr>
        <w:t xml:space="preserve"> norma, tales consecuencias deberán ejecutarse </w:t>
      </w:r>
      <w:r w:rsidR="00683AC4" w:rsidRPr="001720D6">
        <w:rPr>
          <w:rFonts w:ascii="Arial" w:eastAsia="Calibri" w:hAnsi="Arial" w:cs="Arial"/>
          <w:bCs/>
        </w:rPr>
        <w:t>conforme</w:t>
      </w:r>
      <w:r w:rsidRPr="001720D6">
        <w:rPr>
          <w:rFonts w:ascii="Arial" w:eastAsia="Calibri" w:hAnsi="Arial" w:cs="Arial"/>
          <w:bCs/>
        </w:rPr>
        <w:t xml:space="preserve"> lo establecido en esta, en atención a </w:t>
      </w:r>
      <w:r w:rsidR="00683AC4" w:rsidRPr="001720D6">
        <w:rPr>
          <w:rFonts w:ascii="Arial" w:eastAsia="Calibri" w:hAnsi="Arial" w:cs="Arial"/>
          <w:bCs/>
        </w:rPr>
        <w:t>que</w:t>
      </w:r>
      <w:r w:rsidRPr="001720D6">
        <w:rPr>
          <w:rFonts w:ascii="Arial" w:eastAsia="Calibri" w:hAnsi="Arial" w:cs="Arial"/>
          <w:bCs/>
        </w:rPr>
        <w:t xml:space="preserve"> antes de la vigencia de dicha ley, no se actualizaron ni ejecutaron ninguno de los componentes de la ley anterior (supuestos y consecuencias acontecen bajo la vigilancia de la nueva </w:t>
      </w:r>
      <w:r w:rsidR="00683AC4" w:rsidRPr="001720D6">
        <w:rPr>
          <w:rFonts w:ascii="Arial" w:eastAsia="Calibri" w:hAnsi="Arial" w:cs="Arial"/>
          <w:bCs/>
        </w:rPr>
        <w:t>disposición</w:t>
      </w:r>
      <w:r w:rsidRPr="001720D6">
        <w:rPr>
          <w:rFonts w:ascii="Arial" w:eastAsia="Calibri" w:hAnsi="Arial" w:cs="Arial"/>
          <w:bCs/>
        </w:rPr>
        <w:t>).</w:t>
      </w:r>
    </w:p>
    <w:p w14:paraId="04F15B26" w14:textId="24BDAE2F" w:rsidR="00FD2DA3" w:rsidRPr="001720D6" w:rsidRDefault="00DA2871" w:rsidP="001720D6">
      <w:pPr>
        <w:spacing w:line="360" w:lineRule="auto"/>
        <w:ind w:left="567" w:right="333"/>
        <w:jc w:val="both"/>
        <w:rPr>
          <w:rFonts w:ascii="Arial" w:eastAsia="Calibri" w:hAnsi="Arial" w:cs="Arial"/>
          <w:bCs/>
        </w:rPr>
      </w:pPr>
      <w:r w:rsidRPr="001720D6">
        <w:rPr>
          <w:rFonts w:ascii="Arial" w:eastAsia="Calibri" w:hAnsi="Arial" w:cs="Arial"/>
          <w:bCs/>
        </w:rPr>
        <w:t xml:space="preserve">      </w:t>
      </w:r>
      <w:r w:rsidR="00683AC4" w:rsidRPr="001720D6">
        <w:rPr>
          <w:rFonts w:ascii="Arial" w:eastAsia="Calibri" w:hAnsi="Arial" w:cs="Arial"/>
          <w:bCs/>
        </w:rPr>
        <w:t xml:space="preserve">En el presente asunto, </w:t>
      </w:r>
      <w:r w:rsidR="00683AC4" w:rsidRPr="001720D6">
        <w:rPr>
          <w:rFonts w:ascii="Arial" w:eastAsia="Calibri" w:hAnsi="Arial" w:cs="Arial"/>
          <w:b/>
          <w:bCs/>
        </w:rPr>
        <w:t>nos encontramos en la hipótesis comprendida en el inciso b)</w:t>
      </w:r>
      <w:r w:rsidR="00683AC4" w:rsidRPr="001720D6">
        <w:rPr>
          <w:rFonts w:ascii="Arial" w:eastAsia="Calibri" w:hAnsi="Arial" w:cs="Arial"/>
          <w:bCs/>
        </w:rPr>
        <w:t xml:space="preserve">, porque se cumple el supuesto, que es el cumplimiento de treinta años de servicio, y la consecuencia, Sera </w:t>
      </w:r>
      <w:r w:rsidRPr="001720D6">
        <w:rPr>
          <w:rFonts w:ascii="Arial" w:eastAsia="Calibri" w:hAnsi="Arial" w:cs="Arial"/>
          <w:bCs/>
        </w:rPr>
        <w:t>el otorgamiento de pensión</w:t>
      </w:r>
      <w:r w:rsidR="00683AC4" w:rsidRPr="001720D6">
        <w:rPr>
          <w:rFonts w:ascii="Arial" w:eastAsia="Calibri" w:hAnsi="Arial" w:cs="Arial"/>
          <w:bCs/>
        </w:rPr>
        <w:t xml:space="preserve"> por jubilación del 100% de su</w:t>
      </w:r>
      <w:r w:rsidRPr="001720D6">
        <w:rPr>
          <w:rFonts w:ascii="Arial" w:eastAsia="Calibri" w:hAnsi="Arial" w:cs="Arial"/>
          <w:bCs/>
        </w:rPr>
        <w:t>eldo, ello de conformidad a la Ley de P</w:t>
      </w:r>
      <w:r w:rsidR="00683AC4" w:rsidRPr="001720D6">
        <w:rPr>
          <w:rFonts w:ascii="Arial" w:eastAsia="Calibri" w:hAnsi="Arial" w:cs="Arial"/>
          <w:bCs/>
        </w:rPr>
        <w:t xml:space="preserve">ensiones para los </w:t>
      </w:r>
      <w:r w:rsidRPr="001720D6">
        <w:rPr>
          <w:rFonts w:ascii="Arial" w:eastAsia="Calibri" w:hAnsi="Arial" w:cs="Arial"/>
          <w:bCs/>
        </w:rPr>
        <w:t>E</w:t>
      </w:r>
      <w:r w:rsidR="00683AC4" w:rsidRPr="001720D6">
        <w:rPr>
          <w:rFonts w:ascii="Arial" w:eastAsia="Calibri" w:hAnsi="Arial" w:cs="Arial"/>
          <w:bCs/>
        </w:rPr>
        <w:t>mpleados</w:t>
      </w:r>
      <w:r w:rsidRPr="001720D6">
        <w:rPr>
          <w:rFonts w:ascii="Arial" w:eastAsia="Calibri" w:hAnsi="Arial" w:cs="Arial"/>
          <w:bCs/>
        </w:rPr>
        <w:t xml:space="preserve"> del Gobierno del </w:t>
      </w:r>
      <w:r w:rsidRPr="001720D6">
        <w:rPr>
          <w:rFonts w:ascii="Arial" w:eastAsia="Calibri" w:hAnsi="Arial" w:cs="Arial"/>
          <w:bCs/>
        </w:rPr>
        <w:lastRenderedPageBreak/>
        <w:t>E</w:t>
      </w:r>
      <w:r w:rsidR="00683AC4" w:rsidRPr="001720D6">
        <w:rPr>
          <w:rFonts w:ascii="Arial" w:eastAsia="Calibri" w:hAnsi="Arial" w:cs="Arial"/>
          <w:bCs/>
        </w:rPr>
        <w:t xml:space="preserve">stado de Oaxaca, de conformidad con los artículos 7 </w:t>
      </w:r>
      <w:r w:rsidRPr="001720D6">
        <w:rPr>
          <w:rFonts w:ascii="Arial" w:eastAsia="Calibri" w:hAnsi="Arial" w:cs="Arial"/>
          <w:bCs/>
        </w:rPr>
        <w:t>fracción</w:t>
      </w:r>
      <w:r w:rsidR="00683AC4" w:rsidRPr="001720D6">
        <w:rPr>
          <w:rFonts w:ascii="Arial" w:eastAsia="Calibri" w:hAnsi="Arial" w:cs="Arial"/>
          <w:bCs/>
        </w:rPr>
        <w:t xml:space="preserve"> V, 35 </w:t>
      </w:r>
      <w:r w:rsidRPr="001720D6">
        <w:rPr>
          <w:rFonts w:ascii="Arial" w:eastAsia="Calibri" w:hAnsi="Arial" w:cs="Arial"/>
          <w:bCs/>
        </w:rPr>
        <w:t>fracción</w:t>
      </w:r>
      <w:r w:rsidR="00683AC4" w:rsidRPr="001720D6">
        <w:rPr>
          <w:rFonts w:ascii="Arial" w:eastAsia="Calibri" w:hAnsi="Arial" w:cs="Arial"/>
          <w:bCs/>
        </w:rPr>
        <w:t xml:space="preserve"> I y 56 </w:t>
      </w:r>
      <w:r w:rsidRPr="001720D6">
        <w:rPr>
          <w:rFonts w:ascii="Arial" w:eastAsia="Calibri" w:hAnsi="Arial" w:cs="Arial"/>
          <w:bCs/>
        </w:rPr>
        <w:t>fracción</w:t>
      </w:r>
      <w:r w:rsidR="00683AC4" w:rsidRPr="001720D6">
        <w:rPr>
          <w:rFonts w:ascii="Arial" w:eastAsia="Calibri" w:hAnsi="Arial" w:cs="Arial"/>
          <w:bCs/>
        </w:rPr>
        <w:t xml:space="preserve"> I, consecuentemente, la ley actual (</w:t>
      </w:r>
      <w:r w:rsidRPr="001720D6">
        <w:rPr>
          <w:rFonts w:ascii="Arial" w:eastAsia="Calibri" w:hAnsi="Arial" w:cs="Arial"/>
          <w:bCs/>
        </w:rPr>
        <w:t>Ley de Pensiones para los Trabajadores del G</w:t>
      </w:r>
      <w:r w:rsidR="00683AC4" w:rsidRPr="001720D6">
        <w:rPr>
          <w:rFonts w:ascii="Arial" w:eastAsia="Calibri" w:hAnsi="Arial" w:cs="Arial"/>
          <w:bCs/>
        </w:rPr>
        <w:t>obiern</w:t>
      </w:r>
      <w:r w:rsidRPr="001720D6">
        <w:rPr>
          <w:rFonts w:ascii="Arial" w:eastAsia="Calibri" w:hAnsi="Arial" w:cs="Arial"/>
          <w:bCs/>
        </w:rPr>
        <w:t>o del E</w:t>
      </w:r>
      <w:r w:rsidR="00683AC4" w:rsidRPr="001720D6">
        <w:rPr>
          <w:rFonts w:ascii="Arial" w:eastAsia="Calibri" w:hAnsi="Arial" w:cs="Arial"/>
          <w:bCs/>
        </w:rPr>
        <w:t xml:space="preserve">stado de Oaxaca, publicada en la séptima sección del </w:t>
      </w:r>
      <w:r w:rsidRPr="001720D6">
        <w:rPr>
          <w:rFonts w:ascii="Arial" w:eastAsia="Calibri" w:hAnsi="Arial" w:cs="Arial"/>
          <w:bCs/>
        </w:rPr>
        <w:t>P</w:t>
      </w:r>
      <w:r w:rsidR="00683AC4" w:rsidRPr="001720D6">
        <w:rPr>
          <w:rFonts w:ascii="Arial" w:eastAsia="Calibri" w:hAnsi="Arial" w:cs="Arial"/>
          <w:bCs/>
        </w:rPr>
        <w:t xml:space="preserve">eriódico </w:t>
      </w:r>
      <w:r w:rsidRPr="001720D6">
        <w:rPr>
          <w:rFonts w:ascii="Arial" w:eastAsia="Calibri" w:hAnsi="Arial" w:cs="Arial"/>
          <w:bCs/>
        </w:rPr>
        <w:t>O</w:t>
      </w:r>
      <w:r w:rsidR="00683AC4" w:rsidRPr="001720D6">
        <w:rPr>
          <w:rFonts w:ascii="Arial" w:eastAsia="Calibri" w:hAnsi="Arial" w:cs="Arial"/>
          <w:bCs/>
        </w:rPr>
        <w:t>ficial del estado de Oaxaca, el sábado 28 de enero de 2012)</w:t>
      </w:r>
      <w:r w:rsidRPr="001720D6">
        <w:rPr>
          <w:rFonts w:ascii="Arial" w:eastAsia="Calibri" w:hAnsi="Arial" w:cs="Arial"/>
          <w:bCs/>
        </w:rPr>
        <w:t xml:space="preserve"> </w:t>
      </w:r>
      <w:r w:rsidR="00683AC4" w:rsidRPr="001720D6">
        <w:rPr>
          <w:rFonts w:ascii="Arial" w:eastAsia="Calibri" w:hAnsi="Arial" w:cs="Arial"/>
          <w:bCs/>
        </w:rPr>
        <w:t>no pueden modificar el supuesto ni las consecuencias o beneficios obtenidos.</w:t>
      </w:r>
    </w:p>
    <w:p w14:paraId="1BCFFF44" w14:textId="77777777" w:rsidR="00DA2871" w:rsidRPr="001720D6" w:rsidRDefault="00DA2871" w:rsidP="001720D6">
      <w:pPr>
        <w:spacing w:line="360" w:lineRule="auto"/>
        <w:ind w:left="567" w:right="333"/>
        <w:jc w:val="both"/>
        <w:rPr>
          <w:rFonts w:ascii="Arial" w:eastAsia="Calibri" w:hAnsi="Arial" w:cs="Arial"/>
          <w:bCs/>
        </w:rPr>
      </w:pPr>
    </w:p>
    <w:p w14:paraId="0E535C24" w14:textId="40DC9E63" w:rsidR="00683AC4" w:rsidRPr="001720D6" w:rsidRDefault="00DA2871" w:rsidP="001720D6">
      <w:pPr>
        <w:spacing w:line="360" w:lineRule="auto"/>
        <w:ind w:left="567" w:right="333"/>
        <w:jc w:val="both"/>
        <w:rPr>
          <w:rFonts w:ascii="Arial" w:eastAsia="Calibri" w:hAnsi="Arial" w:cs="Arial"/>
          <w:bCs/>
        </w:rPr>
      </w:pPr>
      <w:r w:rsidRPr="001720D6">
        <w:rPr>
          <w:rFonts w:ascii="Arial" w:eastAsia="Calibri" w:hAnsi="Arial" w:cs="Arial"/>
          <w:bCs/>
        </w:rPr>
        <w:t xml:space="preserve">     </w:t>
      </w:r>
      <w:r w:rsidR="00683AC4" w:rsidRPr="001720D6">
        <w:rPr>
          <w:rFonts w:ascii="Arial" w:eastAsia="Calibri" w:hAnsi="Arial" w:cs="Arial"/>
          <w:bCs/>
        </w:rPr>
        <w:t>Bajo esta óptica, la autor</w:t>
      </w:r>
      <w:r w:rsidRPr="001720D6">
        <w:rPr>
          <w:rFonts w:ascii="Arial" w:eastAsia="Calibri" w:hAnsi="Arial" w:cs="Arial"/>
          <w:bCs/>
        </w:rPr>
        <w:t>idad demandada integrantes del Consejo Directivo de P</w:t>
      </w:r>
      <w:r w:rsidR="00683AC4" w:rsidRPr="001720D6">
        <w:rPr>
          <w:rFonts w:ascii="Arial" w:eastAsia="Calibri" w:hAnsi="Arial" w:cs="Arial"/>
          <w:bCs/>
        </w:rPr>
        <w:t xml:space="preserve">ensiones, aplicaron incorrectamente , y con ello </w:t>
      </w:r>
      <w:r w:rsidRPr="001720D6">
        <w:rPr>
          <w:rFonts w:ascii="Arial" w:eastAsia="Calibri" w:hAnsi="Arial" w:cs="Arial"/>
          <w:bCs/>
        </w:rPr>
        <w:t>trascendió</w:t>
      </w:r>
      <w:r w:rsidR="00683AC4" w:rsidRPr="001720D6">
        <w:rPr>
          <w:rFonts w:ascii="Arial" w:eastAsia="Calibri" w:hAnsi="Arial" w:cs="Arial"/>
          <w:bCs/>
        </w:rPr>
        <w:t xml:space="preserve"> en per</w:t>
      </w:r>
      <w:r w:rsidRPr="001720D6">
        <w:rPr>
          <w:rFonts w:ascii="Arial" w:eastAsia="Calibri" w:hAnsi="Arial" w:cs="Arial"/>
          <w:bCs/>
        </w:rPr>
        <w:t>juicio del actor, la L</w:t>
      </w:r>
      <w:r w:rsidR="00683AC4" w:rsidRPr="001720D6">
        <w:rPr>
          <w:rFonts w:ascii="Arial" w:eastAsia="Calibri" w:hAnsi="Arial" w:cs="Arial"/>
          <w:bCs/>
        </w:rPr>
        <w:t xml:space="preserve">ey de </w:t>
      </w:r>
      <w:r w:rsidRPr="001720D6">
        <w:rPr>
          <w:rFonts w:ascii="Arial" w:eastAsia="Calibri" w:hAnsi="Arial" w:cs="Arial"/>
          <w:bCs/>
        </w:rPr>
        <w:t>Pensiones para los Trabajadores del Gobierno del Estado d</w:t>
      </w:r>
      <w:r w:rsidR="00683AC4" w:rsidRPr="001720D6">
        <w:rPr>
          <w:rFonts w:ascii="Arial" w:eastAsia="Calibri" w:hAnsi="Arial" w:cs="Arial"/>
          <w:bCs/>
        </w:rPr>
        <w:t>e</w:t>
      </w:r>
      <w:r w:rsidRPr="001720D6">
        <w:rPr>
          <w:rFonts w:ascii="Arial" w:eastAsia="Calibri" w:hAnsi="Arial" w:cs="Arial"/>
          <w:bCs/>
        </w:rPr>
        <w:t xml:space="preserve"> O</w:t>
      </w:r>
      <w:r w:rsidR="00683AC4" w:rsidRPr="001720D6">
        <w:rPr>
          <w:rFonts w:ascii="Arial" w:eastAsia="Calibri" w:hAnsi="Arial" w:cs="Arial"/>
          <w:bCs/>
        </w:rPr>
        <w:t xml:space="preserve">axaca, al </w:t>
      </w:r>
      <w:r w:rsidRPr="001720D6">
        <w:rPr>
          <w:rFonts w:ascii="Arial" w:eastAsia="Calibri" w:hAnsi="Arial" w:cs="Arial"/>
          <w:bCs/>
        </w:rPr>
        <w:t>cuantificar</w:t>
      </w:r>
      <w:r w:rsidR="00683AC4" w:rsidRPr="001720D6">
        <w:rPr>
          <w:rFonts w:ascii="Arial" w:eastAsia="Calibri" w:hAnsi="Arial" w:cs="Arial"/>
          <w:bCs/>
        </w:rPr>
        <w:t xml:space="preserve"> el monto de la </w:t>
      </w:r>
      <w:r w:rsidRPr="001720D6">
        <w:rPr>
          <w:rFonts w:ascii="Arial" w:eastAsia="Calibri" w:hAnsi="Arial" w:cs="Arial"/>
          <w:bCs/>
        </w:rPr>
        <w:t>pensión</w:t>
      </w:r>
      <w:r w:rsidR="00683AC4" w:rsidRPr="001720D6">
        <w:rPr>
          <w:rFonts w:ascii="Arial" w:eastAsia="Calibri" w:hAnsi="Arial" w:cs="Arial"/>
          <w:bCs/>
        </w:rPr>
        <w:t>, cuando deb</w:t>
      </w:r>
      <w:r w:rsidRPr="001720D6">
        <w:rPr>
          <w:rFonts w:ascii="Arial" w:eastAsia="Calibri" w:hAnsi="Arial" w:cs="Arial"/>
          <w:bCs/>
        </w:rPr>
        <w:t>ieron aplicar la Ley de P</w:t>
      </w:r>
      <w:r w:rsidR="00683AC4" w:rsidRPr="001720D6">
        <w:rPr>
          <w:rFonts w:ascii="Arial" w:eastAsia="Calibri" w:hAnsi="Arial" w:cs="Arial"/>
          <w:bCs/>
        </w:rPr>
        <w:t>ensiones para l</w:t>
      </w:r>
      <w:r w:rsidRPr="001720D6">
        <w:rPr>
          <w:rFonts w:ascii="Arial" w:eastAsia="Calibri" w:hAnsi="Arial" w:cs="Arial"/>
          <w:bCs/>
        </w:rPr>
        <w:t>os Empleados del Gobierno del E</w:t>
      </w:r>
      <w:r w:rsidR="00683AC4" w:rsidRPr="001720D6">
        <w:rPr>
          <w:rFonts w:ascii="Arial" w:eastAsia="Calibri" w:hAnsi="Arial" w:cs="Arial"/>
          <w:bCs/>
        </w:rPr>
        <w:t xml:space="preserve">stado de Oaxaca, y con ello hacer patente la protección </w:t>
      </w:r>
      <w:r w:rsidR="00E76E8A" w:rsidRPr="001720D6">
        <w:rPr>
          <w:rFonts w:ascii="Arial" w:eastAsia="Calibri" w:hAnsi="Arial" w:cs="Arial"/>
          <w:bCs/>
        </w:rPr>
        <w:t xml:space="preserve">la protección </w:t>
      </w:r>
      <w:r w:rsidRPr="001720D6">
        <w:rPr>
          <w:rFonts w:ascii="Arial" w:eastAsia="Calibri" w:hAnsi="Arial" w:cs="Arial"/>
          <w:bCs/>
        </w:rPr>
        <w:t>más</w:t>
      </w:r>
      <w:r w:rsidR="00E76E8A" w:rsidRPr="001720D6">
        <w:rPr>
          <w:rFonts w:ascii="Arial" w:eastAsia="Calibri" w:hAnsi="Arial" w:cs="Arial"/>
          <w:bCs/>
        </w:rPr>
        <w:t xml:space="preserve"> amplia de sus derechos, contenida en el segundo párrafo del </w:t>
      </w:r>
      <w:r w:rsidRPr="001720D6">
        <w:rPr>
          <w:rFonts w:ascii="Arial" w:eastAsia="Calibri" w:hAnsi="Arial" w:cs="Arial"/>
          <w:bCs/>
        </w:rPr>
        <w:t>artículo</w:t>
      </w:r>
      <w:r w:rsidR="00E76E8A" w:rsidRPr="001720D6">
        <w:rPr>
          <w:rFonts w:ascii="Arial" w:eastAsia="Calibri" w:hAnsi="Arial" w:cs="Arial"/>
          <w:bCs/>
        </w:rPr>
        <w:t xml:space="preserve"> 1</w:t>
      </w:r>
      <w:r w:rsidRPr="001720D6">
        <w:rPr>
          <w:rFonts w:ascii="Arial" w:eastAsia="Calibri" w:hAnsi="Arial" w:cs="Arial"/>
          <w:bCs/>
        </w:rPr>
        <w:t xml:space="preserve"> de la Constitución</w:t>
      </w:r>
      <w:r w:rsidR="00E76E8A" w:rsidRPr="001720D6">
        <w:rPr>
          <w:rFonts w:ascii="Arial" w:eastAsia="Calibri" w:hAnsi="Arial" w:cs="Arial"/>
          <w:bCs/>
        </w:rPr>
        <w:t xml:space="preserve"> </w:t>
      </w:r>
      <w:r w:rsidRPr="001720D6">
        <w:rPr>
          <w:rFonts w:ascii="Arial" w:eastAsia="Calibri" w:hAnsi="Arial" w:cs="Arial"/>
          <w:bCs/>
        </w:rPr>
        <w:t>P</w:t>
      </w:r>
      <w:r w:rsidR="00E76E8A" w:rsidRPr="001720D6">
        <w:rPr>
          <w:rFonts w:ascii="Arial" w:eastAsia="Calibri" w:hAnsi="Arial" w:cs="Arial"/>
          <w:bCs/>
        </w:rPr>
        <w:t xml:space="preserve">olítica </w:t>
      </w:r>
      <w:r w:rsidRPr="001720D6">
        <w:rPr>
          <w:rFonts w:ascii="Arial" w:eastAsia="Calibri" w:hAnsi="Arial" w:cs="Arial"/>
          <w:bCs/>
        </w:rPr>
        <w:t>de los Estado Unidos M</w:t>
      </w:r>
      <w:r w:rsidR="00E76E8A" w:rsidRPr="001720D6">
        <w:rPr>
          <w:rFonts w:ascii="Arial" w:eastAsia="Calibri" w:hAnsi="Arial" w:cs="Arial"/>
          <w:bCs/>
        </w:rPr>
        <w:t xml:space="preserve">exicanos, garantizado el derecho adquirido de aquel y sus consecuencias que nacieron bajo la vigilancia de una ley anterior (pago de su </w:t>
      </w:r>
      <w:r w:rsidRPr="001720D6">
        <w:rPr>
          <w:rFonts w:ascii="Arial" w:eastAsia="Calibri" w:hAnsi="Arial" w:cs="Arial"/>
          <w:bCs/>
        </w:rPr>
        <w:t>pensión</w:t>
      </w:r>
      <w:r w:rsidR="00E76E8A" w:rsidRPr="001720D6">
        <w:rPr>
          <w:rFonts w:ascii="Arial" w:eastAsia="Calibri" w:hAnsi="Arial" w:cs="Arial"/>
          <w:bCs/>
        </w:rPr>
        <w:t xml:space="preserve"> por un monto del 100% de su sueldo), por lo que se refiere el </w:t>
      </w:r>
      <w:r w:rsidRPr="001720D6">
        <w:rPr>
          <w:rFonts w:ascii="Arial" w:eastAsia="Calibri" w:hAnsi="Arial" w:cs="Arial"/>
          <w:bCs/>
        </w:rPr>
        <w:t>artículo</w:t>
      </w:r>
      <w:r w:rsidR="00E76E8A" w:rsidRPr="001720D6">
        <w:rPr>
          <w:rFonts w:ascii="Arial" w:eastAsia="Calibri" w:hAnsi="Arial" w:cs="Arial"/>
          <w:bCs/>
        </w:rPr>
        <w:t xml:space="preserve"> 14 de la </w:t>
      </w:r>
      <w:r w:rsidRPr="001720D6">
        <w:rPr>
          <w:rFonts w:ascii="Arial" w:eastAsia="Calibri" w:hAnsi="Arial" w:cs="Arial"/>
          <w:bCs/>
        </w:rPr>
        <w:t>C</w:t>
      </w:r>
      <w:r w:rsidR="00E76E8A" w:rsidRPr="001720D6">
        <w:rPr>
          <w:rFonts w:ascii="Arial" w:eastAsia="Calibri" w:hAnsi="Arial" w:cs="Arial"/>
          <w:bCs/>
        </w:rPr>
        <w:t xml:space="preserve">onstitución </w:t>
      </w:r>
      <w:r w:rsidRPr="001720D6">
        <w:rPr>
          <w:rFonts w:ascii="Arial" w:eastAsia="Calibri" w:hAnsi="Arial" w:cs="Arial"/>
          <w:bCs/>
        </w:rPr>
        <w:t>P</w:t>
      </w:r>
      <w:r w:rsidR="00E76E8A" w:rsidRPr="001720D6">
        <w:rPr>
          <w:rFonts w:ascii="Arial" w:eastAsia="Calibri" w:hAnsi="Arial" w:cs="Arial"/>
          <w:bCs/>
        </w:rPr>
        <w:t xml:space="preserve">olítica de </w:t>
      </w:r>
      <w:r w:rsidRPr="001720D6">
        <w:rPr>
          <w:rFonts w:ascii="Arial" w:eastAsia="Calibri" w:hAnsi="Arial" w:cs="Arial"/>
          <w:bCs/>
        </w:rPr>
        <w:t>los Estado Unidos M</w:t>
      </w:r>
      <w:r w:rsidR="00E76E8A" w:rsidRPr="001720D6">
        <w:rPr>
          <w:rFonts w:ascii="Arial" w:eastAsia="Calibri" w:hAnsi="Arial" w:cs="Arial"/>
          <w:bCs/>
        </w:rPr>
        <w:t>exicanos.</w:t>
      </w:r>
    </w:p>
    <w:p w14:paraId="6AB5155A" w14:textId="77777777" w:rsidR="00DA2871" w:rsidRPr="001720D6" w:rsidRDefault="00DA2871" w:rsidP="001720D6">
      <w:pPr>
        <w:spacing w:line="360" w:lineRule="auto"/>
        <w:ind w:left="567" w:right="333"/>
        <w:jc w:val="both"/>
        <w:rPr>
          <w:rFonts w:ascii="Arial" w:eastAsia="Calibri" w:hAnsi="Arial" w:cs="Arial"/>
          <w:bCs/>
        </w:rPr>
      </w:pPr>
    </w:p>
    <w:p w14:paraId="6EC9900A" w14:textId="238AD63A" w:rsidR="00FD2DA3" w:rsidRDefault="00BE62EB" w:rsidP="001720D6">
      <w:pPr>
        <w:spacing w:line="360" w:lineRule="auto"/>
        <w:ind w:left="567" w:right="333"/>
        <w:jc w:val="both"/>
        <w:rPr>
          <w:rFonts w:ascii="Arial" w:eastAsia="Calibri" w:hAnsi="Arial" w:cs="Arial"/>
          <w:bCs/>
        </w:rPr>
      </w:pPr>
      <w:r w:rsidRPr="001720D6">
        <w:rPr>
          <w:rFonts w:ascii="Arial" w:eastAsia="Calibri" w:hAnsi="Arial" w:cs="Arial"/>
          <w:bCs/>
        </w:rPr>
        <w:t xml:space="preserve">        </w:t>
      </w:r>
      <w:r w:rsidR="00E76E8A" w:rsidRPr="001720D6">
        <w:rPr>
          <w:rFonts w:ascii="Arial" w:eastAsia="Calibri" w:hAnsi="Arial" w:cs="Arial"/>
          <w:bCs/>
        </w:rPr>
        <w:t xml:space="preserve">Además, el actor sostiene que la </w:t>
      </w:r>
      <w:r w:rsidRPr="001720D6">
        <w:rPr>
          <w:rFonts w:ascii="Arial" w:eastAsia="Calibri" w:hAnsi="Arial" w:cs="Arial"/>
          <w:bCs/>
        </w:rPr>
        <w:t>pensión</w:t>
      </w:r>
      <w:r w:rsidR="00E76E8A" w:rsidRPr="001720D6">
        <w:rPr>
          <w:rFonts w:ascii="Arial" w:eastAsia="Calibri" w:hAnsi="Arial" w:cs="Arial"/>
          <w:bCs/>
        </w:rPr>
        <w:t xml:space="preserve"> que </w:t>
      </w:r>
      <w:r w:rsidRPr="001720D6">
        <w:rPr>
          <w:rFonts w:ascii="Arial" w:eastAsia="Calibri" w:hAnsi="Arial" w:cs="Arial"/>
          <w:bCs/>
        </w:rPr>
        <w:t>debió</w:t>
      </w:r>
      <w:r w:rsidR="00E76E8A" w:rsidRPr="001720D6">
        <w:rPr>
          <w:rFonts w:ascii="Arial" w:eastAsia="Calibri" w:hAnsi="Arial" w:cs="Arial"/>
          <w:bCs/>
        </w:rPr>
        <w:t xml:space="preserve"> otorgársele es la correspondiente a la </w:t>
      </w:r>
      <w:r w:rsidRPr="001720D6">
        <w:rPr>
          <w:rFonts w:ascii="Arial" w:eastAsia="Calibri" w:hAnsi="Arial" w:cs="Arial"/>
          <w:bCs/>
        </w:rPr>
        <w:t>JUBILACIÓN</w:t>
      </w:r>
      <w:r w:rsidR="00E76E8A" w:rsidRPr="001720D6">
        <w:rPr>
          <w:rFonts w:ascii="Arial" w:eastAsia="Calibri" w:hAnsi="Arial" w:cs="Arial"/>
          <w:bCs/>
        </w:rPr>
        <w:t xml:space="preserve"> y no por </w:t>
      </w:r>
      <w:r w:rsidRPr="001720D6">
        <w:rPr>
          <w:rFonts w:ascii="Arial" w:eastAsia="Calibri" w:hAnsi="Arial" w:cs="Arial"/>
          <w:bCs/>
        </w:rPr>
        <w:t xml:space="preserve">VEJEZ, </w:t>
      </w:r>
      <w:r w:rsidR="00E76E8A" w:rsidRPr="001720D6">
        <w:rPr>
          <w:rFonts w:ascii="Arial" w:eastAsia="Calibri" w:hAnsi="Arial" w:cs="Arial"/>
          <w:bCs/>
        </w:rPr>
        <w:t xml:space="preserve">como fue considerada, y  a este </w:t>
      </w:r>
      <w:r w:rsidRPr="001720D6">
        <w:rPr>
          <w:rFonts w:ascii="Arial" w:eastAsia="Calibri" w:hAnsi="Arial" w:cs="Arial"/>
          <w:bCs/>
        </w:rPr>
        <w:t>respecto</w:t>
      </w:r>
      <w:r w:rsidR="00E76E8A" w:rsidRPr="001720D6">
        <w:rPr>
          <w:rFonts w:ascii="Arial" w:eastAsia="Calibri" w:hAnsi="Arial" w:cs="Arial"/>
          <w:bCs/>
        </w:rPr>
        <w:t xml:space="preserve">, se destaca el hecho de que el </w:t>
      </w:r>
      <w:r w:rsidRPr="001720D6">
        <w:rPr>
          <w:rFonts w:ascii="Arial" w:eastAsia="Calibri" w:hAnsi="Arial" w:cs="Arial"/>
          <w:bCs/>
        </w:rPr>
        <w:t>artículo</w:t>
      </w:r>
      <w:r w:rsidR="00E76E8A" w:rsidRPr="001720D6">
        <w:rPr>
          <w:rFonts w:ascii="Arial" w:eastAsia="Calibri" w:hAnsi="Arial" w:cs="Arial"/>
          <w:bCs/>
        </w:rPr>
        <w:t xml:space="preserve"> 56 </w:t>
      </w:r>
      <w:r w:rsidRPr="001720D6">
        <w:rPr>
          <w:rFonts w:ascii="Arial" w:eastAsia="Calibri" w:hAnsi="Arial" w:cs="Arial"/>
          <w:bCs/>
        </w:rPr>
        <w:t>fracción VIII, de la Ley de Pensiones para los Empleados</w:t>
      </w:r>
      <w:r w:rsidR="00E76E8A" w:rsidRPr="001720D6">
        <w:rPr>
          <w:rFonts w:ascii="Arial" w:eastAsia="Calibri" w:hAnsi="Arial" w:cs="Arial"/>
          <w:bCs/>
        </w:rPr>
        <w:t xml:space="preserve"> del </w:t>
      </w:r>
      <w:r w:rsidRPr="001720D6">
        <w:rPr>
          <w:rFonts w:ascii="Arial" w:eastAsia="Calibri" w:hAnsi="Arial" w:cs="Arial"/>
          <w:bCs/>
        </w:rPr>
        <w:t>Gobierno del E</w:t>
      </w:r>
      <w:r w:rsidR="00E76E8A" w:rsidRPr="001720D6">
        <w:rPr>
          <w:rFonts w:ascii="Arial" w:eastAsia="Calibri" w:hAnsi="Arial" w:cs="Arial"/>
          <w:bCs/>
        </w:rPr>
        <w:t xml:space="preserve">stado de Oaxaca, contempla dicha figura para el personal masculino que haya cumplido treinta años de servicio, independientemente de su edad, consecuentemente, el actor reúne </w:t>
      </w:r>
      <w:r w:rsidR="001720D6" w:rsidRPr="001720D6">
        <w:rPr>
          <w:rFonts w:ascii="Arial" w:eastAsia="Calibri" w:hAnsi="Arial" w:cs="Arial"/>
          <w:bCs/>
        </w:rPr>
        <w:t>las</w:t>
      </w:r>
      <w:r w:rsidR="00E76E8A" w:rsidRPr="001720D6">
        <w:rPr>
          <w:rFonts w:ascii="Arial" w:eastAsia="Calibri" w:hAnsi="Arial" w:cs="Arial"/>
          <w:bCs/>
        </w:rPr>
        <w:t xml:space="preserve"> condiciones establecidas en dicho supuesto, por lo que </w:t>
      </w:r>
      <w:r w:rsidR="001720D6" w:rsidRPr="001720D6">
        <w:rPr>
          <w:rFonts w:ascii="Arial" w:eastAsia="Calibri" w:hAnsi="Arial" w:cs="Arial"/>
          <w:bCs/>
        </w:rPr>
        <w:t>corresponde</w:t>
      </w:r>
      <w:r w:rsidR="00E76E8A" w:rsidRPr="001720D6">
        <w:rPr>
          <w:rFonts w:ascii="Arial" w:eastAsia="Calibri" w:hAnsi="Arial" w:cs="Arial"/>
          <w:bCs/>
        </w:rPr>
        <w:t xml:space="preserve"> otorgar el pago de </w:t>
      </w:r>
      <w:r w:rsidR="001720D6" w:rsidRPr="001720D6">
        <w:rPr>
          <w:rFonts w:ascii="Arial" w:eastAsia="Calibri" w:hAnsi="Arial" w:cs="Arial"/>
          <w:bCs/>
        </w:rPr>
        <w:t>pensión</w:t>
      </w:r>
      <w:r w:rsidR="00E76E8A" w:rsidRPr="001720D6">
        <w:rPr>
          <w:rFonts w:ascii="Arial" w:eastAsia="Calibri" w:hAnsi="Arial" w:cs="Arial"/>
          <w:bCs/>
        </w:rPr>
        <w:t xml:space="preserve"> por jubilación que refiere, </w:t>
      </w:r>
      <w:r w:rsidR="001720D6" w:rsidRPr="001720D6">
        <w:rPr>
          <w:rFonts w:ascii="Arial" w:eastAsia="Calibri" w:hAnsi="Arial" w:cs="Arial"/>
          <w:bCs/>
        </w:rPr>
        <w:t>toda</w:t>
      </w:r>
      <w:r w:rsidR="00E76E8A" w:rsidRPr="001720D6">
        <w:rPr>
          <w:rFonts w:ascii="Arial" w:eastAsia="Calibri" w:hAnsi="Arial" w:cs="Arial"/>
          <w:bCs/>
        </w:rPr>
        <w:t xml:space="preserve"> vez que es la </w:t>
      </w:r>
      <w:r w:rsidR="001720D6" w:rsidRPr="001720D6">
        <w:rPr>
          <w:rFonts w:ascii="Arial" w:eastAsia="Calibri" w:hAnsi="Arial" w:cs="Arial"/>
          <w:bCs/>
        </w:rPr>
        <w:t>normatividad</w:t>
      </w:r>
      <w:r w:rsidR="00E76E8A" w:rsidRPr="001720D6">
        <w:rPr>
          <w:rFonts w:ascii="Arial" w:eastAsia="Calibri" w:hAnsi="Arial" w:cs="Arial"/>
          <w:bCs/>
        </w:rPr>
        <w:t xml:space="preserve"> señalada, la que contemplaba ese derecho </w:t>
      </w:r>
      <w:r w:rsidR="001720D6" w:rsidRPr="001720D6">
        <w:rPr>
          <w:rFonts w:ascii="Arial" w:eastAsia="Calibri" w:hAnsi="Arial" w:cs="Arial"/>
          <w:bCs/>
        </w:rPr>
        <w:t>adquirido y no la Ley de P</w:t>
      </w:r>
      <w:r w:rsidR="00E76E8A" w:rsidRPr="001720D6">
        <w:rPr>
          <w:rFonts w:ascii="Arial" w:eastAsia="Calibri" w:hAnsi="Arial" w:cs="Arial"/>
          <w:bCs/>
        </w:rPr>
        <w:t xml:space="preserve">ensiones para los </w:t>
      </w:r>
      <w:r w:rsidR="001720D6" w:rsidRPr="001720D6">
        <w:rPr>
          <w:rFonts w:ascii="Arial" w:eastAsia="Calibri" w:hAnsi="Arial" w:cs="Arial"/>
          <w:bCs/>
        </w:rPr>
        <w:t>Trabajadores del Gobierno del E</w:t>
      </w:r>
      <w:r w:rsidR="00E76E8A" w:rsidRPr="001720D6">
        <w:rPr>
          <w:rFonts w:ascii="Arial" w:eastAsia="Calibri" w:hAnsi="Arial" w:cs="Arial"/>
          <w:bCs/>
        </w:rPr>
        <w:t xml:space="preserve">stado de Oaxaca, que en su </w:t>
      </w:r>
      <w:r w:rsidR="001720D6" w:rsidRPr="001720D6">
        <w:rPr>
          <w:rFonts w:ascii="Arial" w:eastAsia="Calibri" w:hAnsi="Arial" w:cs="Arial"/>
          <w:bCs/>
        </w:rPr>
        <w:t>artículo</w:t>
      </w:r>
      <w:r w:rsidR="00E76E8A" w:rsidRPr="001720D6">
        <w:rPr>
          <w:rFonts w:ascii="Arial" w:eastAsia="Calibri" w:hAnsi="Arial" w:cs="Arial"/>
          <w:bCs/>
        </w:rPr>
        <w:t xml:space="preserve"> 30 </w:t>
      </w:r>
      <w:r w:rsidR="001720D6" w:rsidRPr="001720D6">
        <w:rPr>
          <w:rFonts w:ascii="Arial" w:eastAsia="Calibri" w:hAnsi="Arial" w:cs="Arial"/>
          <w:bCs/>
        </w:rPr>
        <w:t>fracción</w:t>
      </w:r>
      <w:r w:rsidR="00E76E8A" w:rsidRPr="001720D6">
        <w:rPr>
          <w:rFonts w:ascii="Arial" w:eastAsia="Calibri" w:hAnsi="Arial" w:cs="Arial"/>
          <w:bCs/>
        </w:rPr>
        <w:t xml:space="preserve"> I, dispone mayores requisitos para la obtención de dicha </w:t>
      </w:r>
      <w:r w:rsidR="001720D6" w:rsidRPr="001720D6">
        <w:rPr>
          <w:rFonts w:ascii="Arial" w:eastAsia="Calibri" w:hAnsi="Arial" w:cs="Arial"/>
          <w:bCs/>
        </w:rPr>
        <w:t>pensión</w:t>
      </w:r>
      <w:r w:rsidR="00E76E8A" w:rsidRPr="001720D6">
        <w:rPr>
          <w:rFonts w:ascii="Arial" w:eastAsia="Calibri" w:hAnsi="Arial" w:cs="Arial"/>
          <w:bCs/>
        </w:rPr>
        <w:t xml:space="preserve"> por jubilación. </w:t>
      </w:r>
      <w:r w:rsidR="00B7107F">
        <w:rPr>
          <w:rFonts w:ascii="Arial" w:eastAsia="Calibri" w:hAnsi="Arial" w:cs="Arial"/>
          <w:bCs/>
        </w:rPr>
        <w:t xml:space="preserve">…” </w:t>
      </w:r>
    </w:p>
    <w:p w14:paraId="2AF21135" w14:textId="77777777" w:rsidR="00B7107F" w:rsidRPr="001720D6" w:rsidRDefault="00B7107F" w:rsidP="001720D6">
      <w:pPr>
        <w:spacing w:line="360" w:lineRule="auto"/>
        <w:ind w:left="567" w:right="333"/>
        <w:jc w:val="both"/>
        <w:rPr>
          <w:rFonts w:ascii="Arial" w:eastAsia="Calibri" w:hAnsi="Arial" w:cs="Arial"/>
          <w:bCs/>
        </w:rPr>
      </w:pPr>
    </w:p>
    <w:p w14:paraId="2897D45C" w14:textId="28BD2743" w:rsidR="001720D6" w:rsidRPr="001720D6" w:rsidRDefault="00014FCF" w:rsidP="001720D6">
      <w:pPr>
        <w:spacing w:line="360" w:lineRule="auto"/>
        <w:ind w:firstLine="708"/>
        <w:jc w:val="both"/>
        <w:rPr>
          <w:rFonts w:ascii="Arial" w:hAnsi="Arial" w:cs="Arial"/>
          <w:bCs/>
          <w:sz w:val="26"/>
          <w:szCs w:val="26"/>
        </w:rPr>
      </w:pPr>
      <w:r>
        <w:rPr>
          <w:rFonts w:ascii="Arial" w:hAnsi="Arial" w:cs="Arial"/>
          <w:sz w:val="26"/>
          <w:szCs w:val="26"/>
        </w:rPr>
        <w:t>Dete</w:t>
      </w:r>
      <w:r w:rsidR="000D3A15">
        <w:rPr>
          <w:rFonts w:ascii="Arial" w:hAnsi="Arial" w:cs="Arial"/>
          <w:sz w:val="26"/>
          <w:szCs w:val="26"/>
        </w:rPr>
        <w:t>rminación respecto de la cual la</w:t>
      </w:r>
      <w:r>
        <w:rPr>
          <w:rFonts w:ascii="Arial" w:hAnsi="Arial" w:cs="Arial"/>
          <w:sz w:val="26"/>
          <w:szCs w:val="26"/>
        </w:rPr>
        <w:t xml:space="preserve"> recurrente soslayó emitir </w:t>
      </w:r>
      <w:r w:rsidR="001720D6">
        <w:rPr>
          <w:rFonts w:ascii="Arial" w:hAnsi="Arial" w:cs="Arial"/>
          <w:sz w:val="26"/>
          <w:szCs w:val="26"/>
        </w:rPr>
        <w:t>manifestaciones</w:t>
      </w:r>
      <w:r>
        <w:rPr>
          <w:rFonts w:ascii="Arial" w:hAnsi="Arial" w:cs="Arial"/>
          <w:sz w:val="26"/>
          <w:szCs w:val="26"/>
        </w:rPr>
        <w:t xml:space="preserve"> </w:t>
      </w:r>
      <w:r w:rsidR="004309A3" w:rsidRPr="00B7107F">
        <w:rPr>
          <w:rFonts w:ascii="Arial" w:hAnsi="Arial" w:cs="Arial"/>
          <w:color w:val="171717" w:themeColor="background2" w:themeShade="1A"/>
          <w:sz w:val="26"/>
          <w:szCs w:val="26"/>
        </w:rPr>
        <w:t>combatiente</w:t>
      </w:r>
      <w:r w:rsidR="001720D6" w:rsidRPr="00B7107F">
        <w:rPr>
          <w:rFonts w:ascii="Arial" w:hAnsi="Arial" w:cs="Arial"/>
          <w:color w:val="171717" w:themeColor="background2" w:themeShade="1A"/>
          <w:sz w:val="26"/>
          <w:szCs w:val="26"/>
        </w:rPr>
        <w:t>s</w:t>
      </w:r>
      <w:r>
        <w:rPr>
          <w:rFonts w:ascii="Arial" w:hAnsi="Arial" w:cs="Arial"/>
          <w:sz w:val="26"/>
          <w:szCs w:val="26"/>
        </w:rPr>
        <w:t xml:space="preserve">, al limitarse únicamente a señalar </w:t>
      </w:r>
      <w:r w:rsidR="001720D6">
        <w:rPr>
          <w:rFonts w:ascii="Arial" w:hAnsi="Arial" w:cs="Arial"/>
          <w:sz w:val="26"/>
          <w:szCs w:val="26"/>
        </w:rPr>
        <w:t xml:space="preserve">que la </w:t>
      </w:r>
      <w:r w:rsidR="00B7107F">
        <w:rPr>
          <w:rFonts w:ascii="Arial" w:hAnsi="Arial" w:cs="Arial"/>
          <w:sz w:val="26"/>
          <w:szCs w:val="26"/>
        </w:rPr>
        <w:t xml:space="preserve">Primera Instancia </w:t>
      </w:r>
      <w:r w:rsidR="001720D6">
        <w:rPr>
          <w:rFonts w:ascii="Arial" w:hAnsi="Arial" w:cs="Arial"/>
          <w:sz w:val="26"/>
          <w:szCs w:val="26"/>
        </w:rPr>
        <w:t>hace una inadecuada</w:t>
      </w:r>
      <w:r>
        <w:rPr>
          <w:rFonts w:ascii="Arial" w:hAnsi="Arial" w:cs="Arial"/>
          <w:sz w:val="26"/>
          <w:szCs w:val="26"/>
        </w:rPr>
        <w:t xml:space="preserve"> </w:t>
      </w:r>
      <w:r w:rsidR="001720D6">
        <w:rPr>
          <w:rFonts w:ascii="Arial" w:hAnsi="Arial" w:cs="Arial"/>
          <w:sz w:val="26"/>
          <w:szCs w:val="26"/>
        </w:rPr>
        <w:t>interpretación d</w:t>
      </w:r>
      <w:r>
        <w:rPr>
          <w:rFonts w:ascii="Arial" w:hAnsi="Arial" w:cs="Arial"/>
          <w:sz w:val="26"/>
          <w:szCs w:val="26"/>
        </w:rPr>
        <w:t>el artículo</w:t>
      </w:r>
      <w:r w:rsidR="001720D6">
        <w:rPr>
          <w:rFonts w:ascii="Arial" w:hAnsi="Arial" w:cs="Arial"/>
          <w:sz w:val="26"/>
          <w:szCs w:val="26"/>
        </w:rPr>
        <w:t xml:space="preserve"> 14 de la Constitución Política de los Estado Unidos Mexicanos</w:t>
      </w:r>
      <w:r w:rsidR="00B7107F">
        <w:rPr>
          <w:rFonts w:ascii="Arial" w:hAnsi="Arial" w:cs="Arial"/>
          <w:sz w:val="26"/>
          <w:szCs w:val="26"/>
        </w:rPr>
        <w:t xml:space="preserve"> y</w:t>
      </w:r>
      <w:r w:rsidR="000B5EDF">
        <w:rPr>
          <w:rFonts w:ascii="Arial" w:hAnsi="Arial" w:cs="Arial"/>
          <w:sz w:val="26"/>
          <w:szCs w:val="26"/>
        </w:rPr>
        <w:t xml:space="preserve"> simplificar </w:t>
      </w:r>
      <w:r w:rsidR="00B7107F">
        <w:rPr>
          <w:rFonts w:ascii="Arial" w:hAnsi="Arial" w:cs="Arial"/>
          <w:sz w:val="26"/>
          <w:szCs w:val="26"/>
        </w:rPr>
        <w:t>en que</w:t>
      </w:r>
      <w:r w:rsidR="000B5EDF">
        <w:rPr>
          <w:rFonts w:ascii="Arial" w:hAnsi="Arial" w:cs="Arial"/>
          <w:sz w:val="26"/>
          <w:szCs w:val="26"/>
        </w:rPr>
        <w:t xml:space="preserve"> significa </w:t>
      </w:r>
      <w:r w:rsidR="00B7107F">
        <w:rPr>
          <w:rFonts w:ascii="Arial" w:hAnsi="Arial" w:cs="Arial"/>
          <w:sz w:val="26"/>
          <w:szCs w:val="26"/>
        </w:rPr>
        <w:t>la palabra retroactividad</w:t>
      </w:r>
      <w:r w:rsidR="000D3A15">
        <w:rPr>
          <w:rFonts w:ascii="Arial" w:hAnsi="Arial" w:cs="Arial"/>
          <w:sz w:val="26"/>
          <w:szCs w:val="26"/>
        </w:rPr>
        <w:t xml:space="preserve">; </w:t>
      </w:r>
      <w:r w:rsidR="001720D6">
        <w:rPr>
          <w:rFonts w:ascii="Arial" w:hAnsi="Arial" w:cs="Arial"/>
          <w:bCs/>
          <w:sz w:val="26"/>
          <w:szCs w:val="26"/>
        </w:rPr>
        <w:t xml:space="preserve">Ante tal situación, </w:t>
      </w:r>
      <w:r w:rsidR="001720D6">
        <w:rPr>
          <w:rFonts w:ascii="Arial" w:hAnsi="Arial" w:cs="Arial"/>
          <w:sz w:val="26"/>
          <w:szCs w:val="26"/>
        </w:rPr>
        <w:t xml:space="preserve">lo determinado por la primera instancia sigue rigiendo el sentido de la sentencia recurrida, porque la parte demandada con sus manifestaciones no destruye esas consideraciones, lo que era menester que hiciera ya que fue precisamente en atención a ellas que la Magistrada determinó declarar la nulidad del acto; de ahí que los </w:t>
      </w:r>
      <w:r w:rsidR="001720D6">
        <w:rPr>
          <w:rFonts w:ascii="Arial" w:hAnsi="Arial" w:cs="Arial"/>
          <w:sz w:val="26"/>
          <w:szCs w:val="26"/>
        </w:rPr>
        <w:lastRenderedPageBreak/>
        <w:t xml:space="preserve">motivos de inconformidad expresados son jurídicamente ineficaces, por lo que </w:t>
      </w:r>
      <w:r>
        <w:rPr>
          <w:rFonts w:ascii="Arial" w:hAnsi="Arial" w:cs="Arial"/>
          <w:sz w:val="26"/>
          <w:szCs w:val="26"/>
        </w:rPr>
        <w:t>esta S</w:t>
      </w:r>
      <w:r w:rsidR="001720D6">
        <w:rPr>
          <w:rFonts w:ascii="Arial" w:hAnsi="Arial" w:cs="Arial"/>
          <w:sz w:val="26"/>
          <w:szCs w:val="26"/>
        </w:rPr>
        <w:t>ala Superior no puede analizar</w:t>
      </w:r>
      <w:r>
        <w:rPr>
          <w:rFonts w:ascii="Arial" w:hAnsi="Arial" w:cs="Arial"/>
          <w:sz w:val="26"/>
          <w:szCs w:val="26"/>
        </w:rPr>
        <w:t xml:space="preserve"> su legalidad, ante la ausencia de motivos de inconformidad en su contra.</w:t>
      </w:r>
    </w:p>
    <w:p w14:paraId="37E2E41E" w14:textId="63BA8444" w:rsidR="00014FCF" w:rsidRDefault="00014FCF" w:rsidP="001720D6">
      <w:pPr>
        <w:spacing w:before="240" w:line="360" w:lineRule="auto"/>
        <w:ind w:firstLine="708"/>
        <w:jc w:val="both"/>
        <w:rPr>
          <w:rFonts w:ascii="Arial" w:eastAsia="Times New Roman" w:hAnsi="Arial"/>
          <w:color w:val="000000" w:themeColor="text1"/>
          <w:sz w:val="26"/>
          <w:szCs w:val="26"/>
        </w:rPr>
      </w:pPr>
      <w:r w:rsidRPr="002B506D">
        <w:rPr>
          <w:rFonts w:ascii="Arial" w:hAnsi="Arial" w:cs="Arial"/>
          <w:bCs/>
          <w:color w:val="000000" w:themeColor="text1"/>
          <w:sz w:val="26"/>
          <w:szCs w:val="26"/>
        </w:rPr>
        <w:t xml:space="preserve">Sirve de apoyo la jurisprudencia </w:t>
      </w:r>
      <w:r w:rsidRPr="002B506D">
        <w:rPr>
          <w:rFonts w:ascii="Arial" w:eastAsia="Times New Roman" w:hAnsi="Arial"/>
          <w:color w:val="000000" w:themeColor="text1"/>
          <w:sz w:val="26"/>
          <w:szCs w:val="26"/>
        </w:rPr>
        <w:t>IV.3o. J/12 dictada por el Tercer Tribunal Colegiado del Cuarto Circuito, publicada en la Gaceta del Sema</w:t>
      </w:r>
      <w:r>
        <w:rPr>
          <w:rFonts w:ascii="Arial" w:eastAsia="Times New Roman" w:hAnsi="Arial"/>
          <w:color w:val="000000" w:themeColor="text1"/>
          <w:sz w:val="26"/>
          <w:szCs w:val="26"/>
        </w:rPr>
        <w:t xml:space="preserve">nario Judicial de la Federación, </w:t>
      </w:r>
      <w:r w:rsidRPr="002B506D">
        <w:rPr>
          <w:rFonts w:ascii="Arial" w:eastAsia="Times New Roman" w:hAnsi="Arial"/>
          <w:color w:val="000000" w:themeColor="text1"/>
          <w:sz w:val="26"/>
          <w:szCs w:val="26"/>
        </w:rPr>
        <w:t xml:space="preserve">en la </w:t>
      </w:r>
      <w:r>
        <w:rPr>
          <w:rFonts w:ascii="Arial" w:eastAsia="Times New Roman" w:hAnsi="Arial"/>
          <w:color w:val="000000" w:themeColor="text1"/>
          <w:sz w:val="26"/>
          <w:szCs w:val="26"/>
        </w:rPr>
        <w:t>O</w:t>
      </w:r>
      <w:r w:rsidRPr="002B506D">
        <w:rPr>
          <w:rFonts w:ascii="Arial" w:eastAsia="Times New Roman" w:hAnsi="Arial"/>
          <w:color w:val="000000" w:themeColor="text1"/>
          <w:sz w:val="26"/>
          <w:szCs w:val="26"/>
        </w:rPr>
        <w:t xml:space="preserve">ctava </w:t>
      </w:r>
      <w:r>
        <w:rPr>
          <w:rFonts w:ascii="Arial" w:eastAsia="Times New Roman" w:hAnsi="Arial"/>
          <w:color w:val="000000" w:themeColor="text1"/>
          <w:sz w:val="26"/>
          <w:szCs w:val="26"/>
        </w:rPr>
        <w:t>É</w:t>
      </w:r>
      <w:r w:rsidRPr="002B506D">
        <w:rPr>
          <w:rFonts w:ascii="Arial" w:eastAsia="Times New Roman" w:hAnsi="Arial"/>
          <w:color w:val="000000" w:themeColor="text1"/>
          <w:sz w:val="26"/>
          <w:szCs w:val="26"/>
        </w:rPr>
        <w:t>poca, Septiembre de 1992, consultable a página 57, cuyo rubro y texto son el siguiente:</w:t>
      </w:r>
    </w:p>
    <w:p w14:paraId="5F2CF14D" w14:textId="77777777" w:rsidR="004309A3" w:rsidRPr="002B506D" w:rsidRDefault="004309A3" w:rsidP="00014FCF">
      <w:pPr>
        <w:spacing w:line="360" w:lineRule="auto"/>
        <w:ind w:firstLine="709"/>
        <w:jc w:val="both"/>
        <w:rPr>
          <w:rFonts w:ascii="Arial" w:eastAsia="Times New Roman" w:hAnsi="Arial"/>
          <w:color w:val="000000" w:themeColor="text1"/>
          <w:sz w:val="26"/>
          <w:szCs w:val="26"/>
        </w:rPr>
      </w:pPr>
    </w:p>
    <w:p w14:paraId="16563774" w14:textId="77777777" w:rsidR="00014FCF" w:rsidRPr="009D37FC" w:rsidRDefault="00014FCF" w:rsidP="00014FCF">
      <w:pPr>
        <w:spacing w:line="360" w:lineRule="auto"/>
        <w:ind w:left="1134" w:right="709"/>
        <w:jc w:val="both"/>
        <w:rPr>
          <w:rFonts w:ascii="Arial" w:hAnsi="Arial" w:cs="Arial"/>
          <w:bCs/>
          <w:i/>
          <w:color w:val="000000" w:themeColor="text1"/>
        </w:rPr>
      </w:pPr>
      <w:r w:rsidRPr="009D37FC">
        <w:rPr>
          <w:rFonts w:ascii="Arial" w:eastAsia="Times New Roman" w:hAnsi="Arial"/>
          <w:b/>
          <w:i/>
          <w:color w:val="000000" w:themeColor="text1"/>
        </w:rPr>
        <w:t xml:space="preserve">“AGRAVIOS. DEBEN DE IMPUGNAR LA ILEGALIDAD DEL FALLO RECURRIDO. </w:t>
      </w:r>
      <w:r w:rsidRPr="009D37FC">
        <w:rPr>
          <w:rFonts w:ascii="Arial" w:eastAsia="Times New Roman" w:hAnsi="Arial"/>
          <w:i/>
          <w:color w:val="000000" w:themeColor="text1"/>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14:paraId="56B8E750" w14:textId="77777777" w:rsidR="0084506D" w:rsidRPr="00973936" w:rsidRDefault="0084506D" w:rsidP="00014FCF">
      <w:pPr>
        <w:spacing w:line="360" w:lineRule="auto"/>
        <w:ind w:right="49"/>
        <w:jc w:val="both"/>
        <w:rPr>
          <w:rFonts w:ascii="Arial" w:eastAsia="Calibri" w:hAnsi="Arial" w:cs="Arial"/>
          <w:bCs/>
          <w:sz w:val="26"/>
          <w:szCs w:val="26"/>
        </w:rPr>
      </w:pPr>
    </w:p>
    <w:p w14:paraId="5A198A6C" w14:textId="4406CB62" w:rsidR="0087542B" w:rsidRPr="0054737A" w:rsidRDefault="0054737A" w:rsidP="0054737A">
      <w:pPr>
        <w:spacing w:line="360" w:lineRule="auto"/>
        <w:ind w:firstLine="708"/>
        <w:jc w:val="both"/>
        <w:rPr>
          <w:rFonts w:ascii="Arial" w:eastAsia="Calibri" w:hAnsi="Arial" w:cs="Arial"/>
          <w:bCs/>
          <w:sz w:val="26"/>
          <w:szCs w:val="26"/>
        </w:rPr>
      </w:pPr>
      <w:r>
        <w:rPr>
          <w:rFonts w:ascii="Arial" w:hAnsi="Arial" w:cs="Arial"/>
          <w:bCs/>
          <w:sz w:val="26"/>
          <w:szCs w:val="26"/>
        </w:rPr>
        <w:t xml:space="preserve">En tal virtud, al no existir agravio que reparar, </w:t>
      </w:r>
      <w:r>
        <w:rPr>
          <w:rFonts w:ascii="Arial" w:hAnsi="Arial" w:cs="Arial"/>
          <w:sz w:val="26"/>
          <w:szCs w:val="26"/>
        </w:rPr>
        <w:t xml:space="preserve">por las razones aquí apuntadas, se </w:t>
      </w:r>
      <w:r>
        <w:rPr>
          <w:rFonts w:ascii="Arial" w:hAnsi="Arial" w:cs="Arial"/>
          <w:b/>
          <w:sz w:val="26"/>
          <w:szCs w:val="26"/>
        </w:rPr>
        <w:t>CONFIRMA</w:t>
      </w:r>
      <w:r>
        <w:rPr>
          <w:rFonts w:ascii="Arial" w:hAnsi="Arial" w:cs="Arial"/>
          <w:sz w:val="26"/>
          <w:szCs w:val="26"/>
        </w:rPr>
        <w:t xml:space="preserve">, la sentencia de </w:t>
      </w:r>
      <w:r w:rsidR="000B5EDF">
        <w:rPr>
          <w:rFonts w:ascii="Arial" w:hAnsi="Arial" w:cs="Arial"/>
          <w:sz w:val="26"/>
          <w:szCs w:val="26"/>
        </w:rPr>
        <w:t>12 doce de abril de 2018 dos mil dieciocho</w:t>
      </w:r>
      <w:r>
        <w:rPr>
          <w:rFonts w:ascii="Arial" w:hAnsi="Arial" w:cs="Arial"/>
          <w:sz w:val="26"/>
          <w:szCs w:val="26"/>
        </w:rPr>
        <w:t xml:space="preserve">, </w:t>
      </w:r>
      <w:r>
        <w:rPr>
          <w:rFonts w:ascii="Arial" w:eastAsia="Calibri" w:hAnsi="Arial" w:cs="Arial"/>
          <w:sz w:val="26"/>
          <w:szCs w:val="26"/>
        </w:rPr>
        <w:t>e</w:t>
      </w:r>
      <w:r w:rsidR="0087542B" w:rsidRPr="009632BE">
        <w:rPr>
          <w:rFonts w:ascii="Arial" w:eastAsia="Calibri" w:hAnsi="Arial" w:cs="Arial"/>
          <w:sz w:val="26"/>
          <w:szCs w:val="26"/>
        </w:rPr>
        <w:t>n consecuencia</w:t>
      </w:r>
      <w:r>
        <w:rPr>
          <w:rFonts w:ascii="Arial" w:eastAsia="Calibri" w:hAnsi="Arial" w:cs="Arial"/>
          <w:sz w:val="26"/>
          <w:szCs w:val="26"/>
        </w:rPr>
        <w:t xml:space="preserve"> se</w:t>
      </w:r>
      <w:r w:rsidR="0087542B">
        <w:rPr>
          <w:rFonts w:ascii="Arial" w:eastAsia="Calibri" w:hAnsi="Arial" w:cs="Arial"/>
          <w:sz w:val="26"/>
          <w:szCs w:val="26"/>
        </w:rPr>
        <w:t xml:space="preserve"> </w:t>
      </w:r>
      <w:r w:rsidR="0087542B" w:rsidRPr="009632BE">
        <w:rPr>
          <w:rFonts w:ascii="Arial" w:eastAsia="Calibri" w:hAnsi="Arial" w:cs="Arial"/>
          <w:sz w:val="26"/>
          <w:szCs w:val="26"/>
        </w:rPr>
        <w:t xml:space="preserve">procede </w:t>
      </w:r>
      <w:r w:rsidR="0087542B" w:rsidRPr="009632BE">
        <w:rPr>
          <w:rFonts w:ascii="Arial" w:eastAsia="Calibri" w:hAnsi="Arial" w:cs="Arial"/>
          <w:b/>
          <w:sz w:val="26"/>
          <w:szCs w:val="26"/>
        </w:rPr>
        <w:t>CONFIRMAR</w:t>
      </w:r>
      <w:r w:rsidR="0087542B" w:rsidRPr="009632BE">
        <w:rPr>
          <w:rFonts w:ascii="Arial" w:eastAsia="Calibri" w:hAnsi="Arial" w:cs="Arial"/>
          <w:sz w:val="26"/>
          <w:szCs w:val="26"/>
        </w:rPr>
        <w:t xml:space="preserve"> la </w:t>
      </w:r>
      <w:r w:rsidR="00F6050F">
        <w:rPr>
          <w:rFonts w:ascii="Arial" w:eastAsia="Calibri" w:hAnsi="Arial" w:cs="Arial"/>
          <w:sz w:val="26"/>
          <w:szCs w:val="26"/>
        </w:rPr>
        <w:t>resolución</w:t>
      </w:r>
      <w:r w:rsidR="0087542B" w:rsidRPr="009632BE">
        <w:rPr>
          <w:rFonts w:ascii="Arial" w:eastAsia="Calibri" w:hAnsi="Arial" w:cs="Arial"/>
          <w:sz w:val="26"/>
          <w:szCs w:val="26"/>
        </w:rPr>
        <w:t xml:space="preserve"> recurrida y </w:t>
      </w:r>
      <w:r w:rsidR="004D2667">
        <w:rPr>
          <w:rFonts w:ascii="Arial" w:eastAsia="Calibri" w:hAnsi="Arial" w:cs="Arial"/>
          <w:sz w:val="26"/>
          <w:szCs w:val="26"/>
        </w:rPr>
        <w:t xml:space="preserve">con fundamento en los artículos </w:t>
      </w:r>
      <w:r w:rsidR="00172528" w:rsidRPr="006F2514">
        <w:rPr>
          <w:rFonts w:ascii="Arial" w:eastAsia="Calibri" w:hAnsi="Arial" w:cs="Arial"/>
          <w:sz w:val="26"/>
          <w:szCs w:val="26"/>
        </w:rPr>
        <w:t>237 y 238 de la Ley de Procedimiento y Justicia Administrativa para el Estado</w:t>
      </w:r>
      <w:r w:rsidR="0087542B" w:rsidRPr="009632BE">
        <w:rPr>
          <w:rFonts w:ascii="Arial" w:eastAsia="Calibri" w:hAnsi="Arial" w:cs="Arial"/>
          <w:sz w:val="26"/>
          <w:szCs w:val="26"/>
        </w:rPr>
        <w:t>, se:</w:t>
      </w:r>
    </w:p>
    <w:p w14:paraId="20E033D8" w14:textId="77777777" w:rsidR="0087542B" w:rsidRDefault="0087542B" w:rsidP="0087542B">
      <w:pPr>
        <w:spacing w:line="360" w:lineRule="auto"/>
        <w:ind w:firstLine="708"/>
        <w:jc w:val="center"/>
        <w:rPr>
          <w:rFonts w:ascii="Arial" w:hAnsi="Arial" w:cs="Arial"/>
          <w:b/>
          <w:sz w:val="24"/>
          <w:szCs w:val="24"/>
        </w:rPr>
      </w:pPr>
    </w:p>
    <w:p w14:paraId="54319A71" w14:textId="77777777" w:rsidR="0087542B" w:rsidRDefault="0087542B" w:rsidP="0087542B">
      <w:pPr>
        <w:spacing w:line="360" w:lineRule="auto"/>
        <w:ind w:firstLine="708"/>
        <w:jc w:val="center"/>
        <w:rPr>
          <w:rFonts w:ascii="Arial" w:hAnsi="Arial" w:cs="Arial"/>
          <w:b/>
          <w:sz w:val="24"/>
          <w:szCs w:val="24"/>
        </w:rPr>
      </w:pPr>
      <w:r w:rsidRPr="00CB6E8A">
        <w:rPr>
          <w:rFonts w:ascii="Arial" w:hAnsi="Arial" w:cs="Arial"/>
          <w:b/>
          <w:sz w:val="24"/>
          <w:szCs w:val="24"/>
        </w:rPr>
        <w:t>R E S U E L V E</w:t>
      </w:r>
    </w:p>
    <w:p w14:paraId="0DFECB01" w14:textId="77777777" w:rsidR="0087542B" w:rsidRDefault="0087542B" w:rsidP="0087542B">
      <w:pPr>
        <w:spacing w:line="360" w:lineRule="auto"/>
        <w:ind w:firstLine="708"/>
        <w:jc w:val="center"/>
        <w:rPr>
          <w:rFonts w:ascii="Arial" w:hAnsi="Arial" w:cs="Arial"/>
          <w:b/>
          <w:sz w:val="24"/>
          <w:szCs w:val="24"/>
        </w:rPr>
      </w:pPr>
    </w:p>
    <w:p w14:paraId="02BE92B3" w14:textId="7042BFBF" w:rsidR="0087542B" w:rsidRDefault="0087542B" w:rsidP="0087542B">
      <w:pPr>
        <w:spacing w:line="360" w:lineRule="auto"/>
        <w:ind w:firstLine="708"/>
        <w:jc w:val="both"/>
        <w:rPr>
          <w:rFonts w:ascii="Arial" w:hAnsi="Arial" w:cs="Arial"/>
          <w:color w:val="000000"/>
          <w:sz w:val="26"/>
          <w:szCs w:val="26"/>
        </w:rPr>
      </w:pPr>
      <w:r>
        <w:rPr>
          <w:rFonts w:ascii="Arial" w:hAnsi="Arial" w:cs="Arial"/>
          <w:b/>
          <w:color w:val="000000"/>
          <w:sz w:val="26"/>
          <w:szCs w:val="26"/>
        </w:rPr>
        <w:t>PRIMERO</w:t>
      </w:r>
      <w:r>
        <w:rPr>
          <w:rFonts w:ascii="Arial" w:hAnsi="Arial" w:cs="Arial"/>
          <w:color w:val="000000"/>
          <w:sz w:val="26"/>
          <w:szCs w:val="26"/>
        </w:rPr>
        <w:t xml:space="preserve">. Se </w:t>
      </w:r>
      <w:r w:rsidRPr="009632BE">
        <w:rPr>
          <w:rFonts w:ascii="Arial" w:eastAsia="Calibri" w:hAnsi="Arial" w:cs="Arial"/>
          <w:b/>
          <w:sz w:val="26"/>
          <w:szCs w:val="26"/>
        </w:rPr>
        <w:t>CONFIRMA</w:t>
      </w:r>
      <w:r>
        <w:rPr>
          <w:rFonts w:ascii="Arial" w:hAnsi="Arial" w:cs="Arial"/>
          <w:b/>
          <w:color w:val="000000"/>
          <w:sz w:val="26"/>
          <w:szCs w:val="26"/>
        </w:rPr>
        <w:t xml:space="preserve"> </w:t>
      </w:r>
      <w:r>
        <w:rPr>
          <w:rFonts w:ascii="Arial" w:hAnsi="Arial" w:cs="Arial"/>
          <w:color w:val="000000"/>
          <w:sz w:val="26"/>
          <w:szCs w:val="26"/>
        </w:rPr>
        <w:t xml:space="preserve">la </w:t>
      </w:r>
      <w:r w:rsidR="00B24E66">
        <w:rPr>
          <w:rFonts w:ascii="Arial" w:hAnsi="Arial" w:cs="Arial"/>
          <w:sz w:val="26"/>
          <w:szCs w:val="26"/>
        </w:rPr>
        <w:t>sentencia de</w:t>
      </w:r>
      <w:r w:rsidR="000B5EDF">
        <w:rPr>
          <w:rFonts w:ascii="Arial" w:hAnsi="Arial" w:cs="Arial"/>
          <w:sz w:val="26"/>
          <w:szCs w:val="26"/>
        </w:rPr>
        <w:t xml:space="preserve"> 12 doce de abril de 2018 dos mil dieciocho</w:t>
      </w:r>
      <w:r>
        <w:rPr>
          <w:rFonts w:ascii="Arial" w:hAnsi="Arial" w:cs="Arial"/>
          <w:color w:val="000000"/>
          <w:sz w:val="26"/>
          <w:szCs w:val="26"/>
        </w:rPr>
        <w:t xml:space="preserve">, por las razones expuestas en el Considerando que antecede. </w:t>
      </w:r>
    </w:p>
    <w:p w14:paraId="640E8C61" w14:textId="77777777" w:rsidR="0087542B" w:rsidRDefault="0087542B" w:rsidP="0087542B">
      <w:pPr>
        <w:spacing w:line="360" w:lineRule="auto"/>
        <w:ind w:firstLine="708"/>
        <w:jc w:val="both"/>
        <w:rPr>
          <w:rFonts w:ascii="Arial" w:hAnsi="Arial" w:cs="Arial"/>
          <w:color w:val="000000"/>
          <w:sz w:val="26"/>
          <w:szCs w:val="26"/>
        </w:rPr>
      </w:pPr>
    </w:p>
    <w:p w14:paraId="1D2C5DA7" w14:textId="16BB4529" w:rsidR="0087542B" w:rsidRDefault="0087542B" w:rsidP="0087542B">
      <w:pPr>
        <w:spacing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sidRPr="00103E39">
        <w:rPr>
          <w:rFonts w:ascii="Arial" w:hAnsi="Arial" w:cs="Arial"/>
          <w:sz w:val="26"/>
          <w:szCs w:val="26"/>
        </w:rPr>
        <w:t>remítase copia certificad</w:t>
      </w:r>
      <w:r>
        <w:rPr>
          <w:rFonts w:ascii="Arial" w:hAnsi="Arial" w:cs="Arial"/>
          <w:sz w:val="26"/>
          <w:szCs w:val="26"/>
        </w:rPr>
        <w:t>a de la presente resolución, a la</w:t>
      </w:r>
      <w:r w:rsidR="000B5EDF">
        <w:rPr>
          <w:rFonts w:ascii="Arial" w:hAnsi="Arial" w:cs="Arial"/>
          <w:sz w:val="26"/>
          <w:szCs w:val="26"/>
        </w:rPr>
        <w:t xml:space="preserve"> Séptima</w:t>
      </w:r>
      <w:r w:rsidR="004D2667">
        <w:rPr>
          <w:rFonts w:ascii="Arial" w:hAnsi="Arial" w:cs="Arial"/>
          <w:sz w:val="26"/>
          <w:szCs w:val="26"/>
        </w:rPr>
        <w:t xml:space="preserve"> </w:t>
      </w:r>
      <w:r>
        <w:rPr>
          <w:rFonts w:ascii="Arial" w:hAnsi="Arial" w:cs="Arial"/>
          <w:sz w:val="26"/>
          <w:szCs w:val="26"/>
        </w:rPr>
        <w:t xml:space="preserve">Sala Unitaria de </w:t>
      </w:r>
      <w:r w:rsidRPr="00103E39">
        <w:rPr>
          <w:rFonts w:ascii="Arial" w:hAnsi="Arial" w:cs="Arial"/>
          <w:sz w:val="26"/>
          <w:szCs w:val="26"/>
        </w:rPr>
        <w:t>Primera Instancia, y en su oportunidad archívese el presente cuaderno de revisión c</w:t>
      </w:r>
      <w:r>
        <w:rPr>
          <w:rFonts w:ascii="Arial" w:hAnsi="Arial" w:cs="Arial"/>
          <w:sz w:val="26"/>
          <w:szCs w:val="26"/>
        </w:rPr>
        <w:t>omo asunto concluido.</w:t>
      </w:r>
    </w:p>
    <w:p w14:paraId="4A11962D" w14:textId="77777777" w:rsidR="0087542B" w:rsidRDefault="0087542B" w:rsidP="0087542B">
      <w:pPr>
        <w:spacing w:line="360" w:lineRule="auto"/>
        <w:ind w:firstLine="708"/>
        <w:jc w:val="both"/>
        <w:rPr>
          <w:rFonts w:ascii="Arial" w:hAnsi="Arial" w:cs="Arial"/>
          <w:sz w:val="26"/>
          <w:szCs w:val="26"/>
        </w:rPr>
      </w:pPr>
    </w:p>
    <w:p w14:paraId="1232A268" w14:textId="77777777" w:rsidR="0021190F" w:rsidRDefault="0021190F" w:rsidP="0021190F">
      <w:pPr>
        <w:spacing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 xml:space="preserve">Así por unanimidad de votos, lo resolvieron y firmaron los Magistrados integrantes de la Sala Superior del Tribunal de Justicia </w:t>
      </w:r>
      <w:r>
        <w:rPr>
          <w:rFonts w:ascii="Arial" w:eastAsiaTheme="minorEastAsia" w:hAnsi="Arial" w:cs="Arial"/>
          <w:sz w:val="26"/>
          <w:szCs w:val="26"/>
          <w:lang w:eastAsia="es-MX"/>
        </w:rPr>
        <w:lastRenderedPageBreak/>
        <w:t>Administrativa del Estado de Oaxaca; quienes actúan con la Secretaria General de Acuerdos de este Tribunal, que autoriza y da fe.</w:t>
      </w:r>
    </w:p>
    <w:p w14:paraId="3B8D3192" w14:textId="77777777" w:rsidR="0021190F" w:rsidRDefault="0021190F" w:rsidP="0021190F">
      <w:pPr>
        <w:spacing w:line="360" w:lineRule="auto"/>
        <w:jc w:val="both"/>
        <w:rPr>
          <w:rFonts w:ascii="Arial" w:eastAsiaTheme="minorEastAsia" w:hAnsi="Arial" w:cs="Arial"/>
          <w:sz w:val="26"/>
          <w:szCs w:val="26"/>
          <w:lang w:eastAsia="es-MX"/>
        </w:rPr>
      </w:pPr>
    </w:p>
    <w:p w14:paraId="32B373F3" w14:textId="77777777" w:rsidR="0021190F" w:rsidRDefault="0021190F" w:rsidP="0021190F">
      <w:pPr>
        <w:spacing w:line="360" w:lineRule="auto"/>
        <w:jc w:val="both"/>
        <w:rPr>
          <w:rFonts w:ascii="Arial" w:eastAsiaTheme="minorEastAsia" w:hAnsi="Arial" w:cs="Arial"/>
          <w:sz w:val="26"/>
          <w:szCs w:val="26"/>
          <w:lang w:eastAsia="es-MX"/>
        </w:rPr>
      </w:pPr>
    </w:p>
    <w:p w14:paraId="2973F6D0" w14:textId="77777777" w:rsidR="0021190F" w:rsidRDefault="0021190F" w:rsidP="0021190F">
      <w:pPr>
        <w:spacing w:line="360" w:lineRule="auto"/>
        <w:jc w:val="both"/>
        <w:rPr>
          <w:rFonts w:ascii="Arial" w:eastAsiaTheme="minorEastAsia" w:hAnsi="Arial" w:cs="Arial"/>
          <w:sz w:val="26"/>
          <w:szCs w:val="26"/>
          <w:lang w:eastAsia="es-MX"/>
        </w:rPr>
      </w:pPr>
    </w:p>
    <w:p w14:paraId="0170D7FE" w14:textId="77777777" w:rsidR="00D621AC" w:rsidRDefault="00D621AC" w:rsidP="0021190F">
      <w:pPr>
        <w:spacing w:line="360" w:lineRule="auto"/>
        <w:jc w:val="both"/>
        <w:rPr>
          <w:rFonts w:ascii="Arial" w:eastAsiaTheme="minorEastAsia" w:hAnsi="Arial" w:cs="Arial"/>
          <w:sz w:val="26"/>
          <w:szCs w:val="26"/>
          <w:lang w:eastAsia="es-MX"/>
        </w:rPr>
      </w:pPr>
    </w:p>
    <w:p w14:paraId="60D0529E" w14:textId="77777777" w:rsidR="0021190F" w:rsidRDefault="0021190F" w:rsidP="0021190F">
      <w:pPr>
        <w:pStyle w:val="Sinespaciado"/>
        <w:jc w:val="center"/>
        <w:rPr>
          <w:rFonts w:ascii="Arial" w:hAnsi="Arial" w:cs="Arial"/>
          <w:sz w:val="26"/>
          <w:szCs w:val="26"/>
          <w:lang w:val="es-MX"/>
        </w:rPr>
      </w:pPr>
      <w:r>
        <w:rPr>
          <w:rFonts w:ascii="Arial" w:hAnsi="Arial" w:cs="Arial"/>
          <w:sz w:val="26"/>
          <w:szCs w:val="26"/>
        </w:rPr>
        <w:t>MAGISTRADO ADRIÁN QUIROGA AVENDAÑO.</w:t>
      </w:r>
    </w:p>
    <w:p w14:paraId="32FE550F" w14:textId="77777777" w:rsidR="0021190F" w:rsidRDefault="0021190F" w:rsidP="0021190F">
      <w:pPr>
        <w:pStyle w:val="Sinespaciado"/>
        <w:jc w:val="center"/>
        <w:rPr>
          <w:rFonts w:ascii="Arial" w:hAnsi="Arial" w:cs="Arial"/>
          <w:sz w:val="26"/>
          <w:szCs w:val="26"/>
        </w:rPr>
      </w:pPr>
      <w:r>
        <w:rPr>
          <w:rFonts w:ascii="Arial" w:hAnsi="Arial" w:cs="Arial"/>
          <w:sz w:val="26"/>
          <w:szCs w:val="26"/>
        </w:rPr>
        <w:t>PRESIDENTE</w:t>
      </w:r>
    </w:p>
    <w:p w14:paraId="6211FC3C" w14:textId="77777777" w:rsidR="0021190F" w:rsidRDefault="0021190F" w:rsidP="0021190F">
      <w:pPr>
        <w:rPr>
          <w:rFonts w:ascii="Arial" w:eastAsia="Calibri" w:hAnsi="Arial" w:cs="Arial"/>
          <w:sz w:val="26"/>
          <w:szCs w:val="26"/>
        </w:rPr>
      </w:pPr>
    </w:p>
    <w:p w14:paraId="67067731" w14:textId="77777777" w:rsidR="0021190F" w:rsidRDefault="0021190F" w:rsidP="0021190F">
      <w:pPr>
        <w:jc w:val="center"/>
        <w:rPr>
          <w:rFonts w:ascii="Arial" w:eastAsia="Calibri" w:hAnsi="Arial" w:cs="Arial"/>
          <w:sz w:val="26"/>
          <w:szCs w:val="26"/>
        </w:rPr>
      </w:pPr>
    </w:p>
    <w:p w14:paraId="1E838ED3" w14:textId="77777777" w:rsidR="0021190F" w:rsidRDefault="0021190F" w:rsidP="0021190F">
      <w:pPr>
        <w:spacing w:line="360" w:lineRule="auto"/>
        <w:jc w:val="center"/>
        <w:rPr>
          <w:rFonts w:ascii="Arial" w:eastAsia="Calibri" w:hAnsi="Arial" w:cs="Arial"/>
          <w:b/>
          <w:sz w:val="16"/>
          <w:szCs w:val="26"/>
        </w:rPr>
      </w:pPr>
    </w:p>
    <w:p w14:paraId="237F763A" w14:textId="77777777" w:rsidR="0021190F" w:rsidRDefault="0021190F" w:rsidP="0021190F">
      <w:pPr>
        <w:spacing w:line="360" w:lineRule="auto"/>
        <w:jc w:val="center"/>
        <w:rPr>
          <w:rFonts w:ascii="Arial" w:eastAsia="Calibri" w:hAnsi="Arial" w:cs="Arial"/>
          <w:b/>
          <w:sz w:val="16"/>
          <w:szCs w:val="26"/>
        </w:rPr>
      </w:pPr>
    </w:p>
    <w:p w14:paraId="6BE76563" w14:textId="77777777" w:rsidR="0021190F" w:rsidRPr="003B5FEA" w:rsidRDefault="0021190F" w:rsidP="0021190F">
      <w:pPr>
        <w:spacing w:line="360" w:lineRule="auto"/>
        <w:jc w:val="center"/>
        <w:rPr>
          <w:rFonts w:ascii="Arial" w:eastAsia="Calibri" w:hAnsi="Arial" w:cs="Arial"/>
          <w:b/>
          <w:sz w:val="16"/>
          <w:szCs w:val="26"/>
        </w:rPr>
      </w:pPr>
    </w:p>
    <w:p w14:paraId="27296A66" w14:textId="77777777" w:rsidR="0021190F" w:rsidRDefault="0021190F" w:rsidP="0021190F">
      <w:pPr>
        <w:spacing w:line="360" w:lineRule="auto"/>
        <w:rPr>
          <w:rFonts w:ascii="Arial" w:eastAsia="Calibri" w:hAnsi="Arial" w:cs="Arial"/>
          <w:sz w:val="26"/>
          <w:szCs w:val="26"/>
        </w:rPr>
      </w:pPr>
    </w:p>
    <w:p w14:paraId="7AE38007" w14:textId="77777777" w:rsidR="0021190F" w:rsidRDefault="0021190F" w:rsidP="0021190F">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14:paraId="04B3767F" w14:textId="77777777" w:rsidR="0021190F" w:rsidRDefault="0021190F" w:rsidP="0021190F">
      <w:pPr>
        <w:spacing w:line="360" w:lineRule="auto"/>
        <w:rPr>
          <w:rFonts w:ascii="Arial" w:eastAsia="Calibri" w:hAnsi="Arial" w:cs="Arial"/>
          <w:sz w:val="26"/>
          <w:szCs w:val="26"/>
        </w:rPr>
      </w:pPr>
    </w:p>
    <w:p w14:paraId="73D5939E" w14:textId="77777777" w:rsidR="0021190F" w:rsidRDefault="0021190F" w:rsidP="0021190F">
      <w:pPr>
        <w:spacing w:line="360" w:lineRule="auto"/>
        <w:rPr>
          <w:rFonts w:ascii="Arial" w:eastAsia="Calibri" w:hAnsi="Arial" w:cs="Arial"/>
          <w:sz w:val="26"/>
          <w:szCs w:val="26"/>
        </w:rPr>
      </w:pPr>
    </w:p>
    <w:p w14:paraId="638CF80D" w14:textId="77777777" w:rsidR="0021190F" w:rsidRDefault="0021190F" w:rsidP="0021190F">
      <w:pPr>
        <w:spacing w:line="360" w:lineRule="auto"/>
        <w:rPr>
          <w:rFonts w:ascii="Arial" w:eastAsia="Calibri" w:hAnsi="Arial" w:cs="Arial"/>
          <w:sz w:val="26"/>
          <w:szCs w:val="26"/>
        </w:rPr>
      </w:pPr>
    </w:p>
    <w:p w14:paraId="3214FB0B" w14:textId="77777777" w:rsidR="0021190F" w:rsidRDefault="0021190F" w:rsidP="0021190F">
      <w:pPr>
        <w:spacing w:line="360" w:lineRule="auto"/>
        <w:rPr>
          <w:rFonts w:ascii="Arial" w:eastAsia="Calibri" w:hAnsi="Arial" w:cs="Arial"/>
          <w:sz w:val="26"/>
          <w:szCs w:val="26"/>
        </w:rPr>
      </w:pPr>
    </w:p>
    <w:p w14:paraId="69EF932F" w14:textId="77777777" w:rsidR="0021190F" w:rsidRDefault="0021190F" w:rsidP="0021190F">
      <w:pPr>
        <w:spacing w:line="360" w:lineRule="auto"/>
        <w:rPr>
          <w:rFonts w:ascii="Arial" w:eastAsia="Calibri" w:hAnsi="Arial" w:cs="Arial"/>
          <w:sz w:val="26"/>
          <w:szCs w:val="26"/>
        </w:rPr>
      </w:pPr>
    </w:p>
    <w:p w14:paraId="26EE6923" w14:textId="77777777" w:rsidR="0021190F" w:rsidRDefault="0021190F" w:rsidP="0021190F">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14:paraId="23442F3F" w14:textId="77777777" w:rsidR="0021190F" w:rsidRDefault="0021190F" w:rsidP="0021190F">
      <w:pPr>
        <w:spacing w:line="360" w:lineRule="auto"/>
        <w:rPr>
          <w:rFonts w:ascii="Arial" w:eastAsia="Calibri" w:hAnsi="Arial" w:cs="Arial"/>
          <w:sz w:val="26"/>
          <w:szCs w:val="26"/>
        </w:rPr>
      </w:pPr>
    </w:p>
    <w:p w14:paraId="09D53AF6" w14:textId="77777777" w:rsidR="0021190F" w:rsidRDefault="0021190F" w:rsidP="0021190F">
      <w:pPr>
        <w:spacing w:line="360" w:lineRule="auto"/>
        <w:rPr>
          <w:rFonts w:ascii="Arial" w:eastAsia="Calibri" w:hAnsi="Arial" w:cs="Arial"/>
          <w:sz w:val="26"/>
          <w:szCs w:val="26"/>
        </w:rPr>
      </w:pPr>
    </w:p>
    <w:p w14:paraId="5443B640" w14:textId="77777777" w:rsidR="0021190F" w:rsidRDefault="0021190F" w:rsidP="0021190F">
      <w:pPr>
        <w:spacing w:line="360" w:lineRule="auto"/>
        <w:rPr>
          <w:rFonts w:ascii="Arial" w:eastAsia="Calibri" w:hAnsi="Arial" w:cs="Arial"/>
          <w:sz w:val="26"/>
          <w:szCs w:val="26"/>
        </w:rPr>
      </w:pPr>
    </w:p>
    <w:p w14:paraId="44B388A5" w14:textId="77777777" w:rsidR="0021190F" w:rsidRDefault="0021190F" w:rsidP="0021190F">
      <w:pPr>
        <w:spacing w:line="360" w:lineRule="auto"/>
        <w:rPr>
          <w:rFonts w:ascii="Arial" w:eastAsia="Calibri" w:hAnsi="Arial" w:cs="Arial"/>
          <w:sz w:val="26"/>
          <w:szCs w:val="26"/>
        </w:rPr>
      </w:pPr>
    </w:p>
    <w:p w14:paraId="368E0226" w14:textId="77777777" w:rsidR="0021190F" w:rsidRDefault="0021190F" w:rsidP="0021190F">
      <w:pPr>
        <w:spacing w:line="360" w:lineRule="auto"/>
        <w:rPr>
          <w:rFonts w:ascii="Arial" w:eastAsia="Calibri" w:hAnsi="Arial" w:cs="Arial"/>
          <w:sz w:val="26"/>
          <w:szCs w:val="26"/>
        </w:rPr>
      </w:pPr>
    </w:p>
    <w:p w14:paraId="00F54E57" w14:textId="77777777" w:rsidR="0021190F" w:rsidRDefault="0021190F" w:rsidP="0021190F">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14:paraId="5DCB0D9C" w14:textId="77777777" w:rsidR="0021190F" w:rsidRDefault="0021190F" w:rsidP="0021190F">
      <w:pPr>
        <w:spacing w:line="360" w:lineRule="auto"/>
        <w:jc w:val="center"/>
        <w:rPr>
          <w:rFonts w:ascii="Arial" w:eastAsia="Calibri" w:hAnsi="Arial" w:cs="Arial"/>
          <w:sz w:val="26"/>
          <w:szCs w:val="26"/>
        </w:rPr>
      </w:pPr>
    </w:p>
    <w:p w14:paraId="51D607BE" w14:textId="77777777" w:rsidR="0021190F" w:rsidRDefault="0021190F" w:rsidP="0021190F">
      <w:pPr>
        <w:spacing w:line="360" w:lineRule="auto"/>
        <w:jc w:val="center"/>
        <w:rPr>
          <w:rFonts w:ascii="Arial" w:eastAsia="Calibri" w:hAnsi="Arial" w:cs="Arial"/>
          <w:sz w:val="26"/>
          <w:szCs w:val="26"/>
        </w:rPr>
      </w:pPr>
    </w:p>
    <w:p w14:paraId="1AF3E2CF" w14:textId="77777777" w:rsidR="0021190F" w:rsidRDefault="0021190F" w:rsidP="0021190F">
      <w:pPr>
        <w:spacing w:line="360" w:lineRule="auto"/>
        <w:jc w:val="center"/>
        <w:rPr>
          <w:rFonts w:ascii="Arial" w:eastAsia="Calibri" w:hAnsi="Arial" w:cs="Arial"/>
          <w:sz w:val="26"/>
          <w:szCs w:val="26"/>
        </w:rPr>
      </w:pPr>
    </w:p>
    <w:p w14:paraId="1950F06D" w14:textId="77777777" w:rsidR="0021190F" w:rsidRDefault="0021190F" w:rsidP="0021190F">
      <w:pPr>
        <w:spacing w:line="360" w:lineRule="auto"/>
        <w:jc w:val="center"/>
        <w:rPr>
          <w:rFonts w:ascii="Arial" w:eastAsia="Calibri" w:hAnsi="Arial" w:cs="Arial"/>
          <w:sz w:val="26"/>
          <w:szCs w:val="26"/>
        </w:rPr>
      </w:pPr>
    </w:p>
    <w:p w14:paraId="5124352D" w14:textId="77777777" w:rsidR="0021190F" w:rsidRDefault="0021190F" w:rsidP="0021190F">
      <w:pPr>
        <w:spacing w:line="360" w:lineRule="auto"/>
        <w:jc w:val="center"/>
        <w:rPr>
          <w:rFonts w:ascii="Arial" w:eastAsia="Calibri" w:hAnsi="Arial" w:cs="Arial"/>
          <w:sz w:val="26"/>
          <w:szCs w:val="26"/>
        </w:rPr>
      </w:pPr>
    </w:p>
    <w:p w14:paraId="7518E64C" w14:textId="77777777" w:rsidR="0021190F" w:rsidRDefault="0021190F" w:rsidP="0021190F">
      <w:pPr>
        <w:jc w:val="center"/>
        <w:rPr>
          <w:rFonts w:ascii="Arial" w:eastAsia="Calibri" w:hAnsi="Arial" w:cs="Arial"/>
          <w:sz w:val="26"/>
          <w:szCs w:val="26"/>
        </w:rPr>
      </w:pPr>
      <w:r>
        <w:rPr>
          <w:rFonts w:ascii="Arial" w:eastAsiaTheme="minorEastAsia" w:hAnsi="Arial" w:cs="Arial"/>
          <w:sz w:val="26"/>
          <w:szCs w:val="26"/>
          <w:lang w:eastAsia="es-MX"/>
        </w:rPr>
        <w:t>MAGISTRADO MANUEL VELASCO ALCÁNTARA</w:t>
      </w:r>
    </w:p>
    <w:p w14:paraId="5747E17A" w14:textId="77777777" w:rsidR="0021190F" w:rsidRDefault="0021190F" w:rsidP="0021190F">
      <w:pPr>
        <w:rPr>
          <w:rFonts w:ascii="Arial" w:eastAsia="Calibri" w:hAnsi="Arial" w:cs="Arial"/>
          <w:sz w:val="26"/>
          <w:szCs w:val="26"/>
        </w:rPr>
      </w:pPr>
    </w:p>
    <w:p w14:paraId="7BA1E680" w14:textId="77777777" w:rsidR="0021190F" w:rsidRDefault="0021190F" w:rsidP="0021190F">
      <w:pPr>
        <w:rPr>
          <w:rFonts w:ascii="Arial" w:eastAsia="Calibri" w:hAnsi="Arial" w:cs="Arial"/>
          <w:sz w:val="26"/>
          <w:szCs w:val="26"/>
        </w:rPr>
      </w:pPr>
    </w:p>
    <w:p w14:paraId="0D14ACE5" w14:textId="77777777" w:rsidR="0021190F" w:rsidRDefault="0021190F" w:rsidP="0021190F">
      <w:pPr>
        <w:rPr>
          <w:rFonts w:ascii="Arial" w:eastAsia="Calibri" w:hAnsi="Arial" w:cs="Arial"/>
          <w:sz w:val="26"/>
          <w:szCs w:val="26"/>
        </w:rPr>
      </w:pPr>
    </w:p>
    <w:p w14:paraId="6D399259" w14:textId="77777777" w:rsidR="0021190F" w:rsidRDefault="0021190F" w:rsidP="0021190F">
      <w:pPr>
        <w:rPr>
          <w:rFonts w:ascii="Arial" w:eastAsia="Calibri" w:hAnsi="Arial" w:cs="Arial"/>
          <w:sz w:val="26"/>
          <w:szCs w:val="26"/>
        </w:rPr>
      </w:pPr>
    </w:p>
    <w:p w14:paraId="54B05345" w14:textId="77777777" w:rsidR="0021190F" w:rsidRDefault="0021190F" w:rsidP="0021190F">
      <w:pPr>
        <w:rPr>
          <w:rFonts w:ascii="Arial" w:eastAsia="Calibri" w:hAnsi="Arial" w:cs="Arial"/>
          <w:sz w:val="26"/>
          <w:szCs w:val="26"/>
        </w:rPr>
      </w:pPr>
    </w:p>
    <w:p w14:paraId="0B77707C" w14:textId="77777777" w:rsidR="0021190F" w:rsidRDefault="0021190F" w:rsidP="0021190F">
      <w:pPr>
        <w:rPr>
          <w:rFonts w:ascii="Arial" w:eastAsia="Calibri" w:hAnsi="Arial" w:cs="Arial"/>
          <w:sz w:val="26"/>
          <w:szCs w:val="26"/>
        </w:rPr>
      </w:pPr>
    </w:p>
    <w:p w14:paraId="0023068A" w14:textId="77777777" w:rsidR="0021190F" w:rsidRDefault="0021190F" w:rsidP="0021190F">
      <w:pPr>
        <w:rPr>
          <w:rFonts w:ascii="Arial" w:eastAsia="Calibri" w:hAnsi="Arial" w:cs="Arial"/>
          <w:sz w:val="26"/>
          <w:szCs w:val="26"/>
        </w:rPr>
      </w:pPr>
    </w:p>
    <w:p w14:paraId="5ABE862B" w14:textId="77777777" w:rsidR="0021190F" w:rsidRDefault="0021190F" w:rsidP="0021190F">
      <w:pPr>
        <w:pStyle w:val="Sinespaciado"/>
        <w:jc w:val="center"/>
        <w:rPr>
          <w:rFonts w:ascii="Arial" w:hAnsi="Arial" w:cs="Arial"/>
          <w:sz w:val="26"/>
          <w:szCs w:val="26"/>
        </w:rPr>
      </w:pPr>
      <w:r>
        <w:rPr>
          <w:rFonts w:ascii="Arial" w:hAnsi="Arial" w:cs="Arial"/>
          <w:sz w:val="26"/>
          <w:szCs w:val="26"/>
        </w:rPr>
        <w:t>LICENCIADA LETICIA GARCÍA SOTO.</w:t>
      </w:r>
    </w:p>
    <w:p w14:paraId="5A2DF5A4" w14:textId="77777777" w:rsidR="0021190F" w:rsidRPr="00FA26A1" w:rsidRDefault="0021190F" w:rsidP="0021190F">
      <w:pPr>
        <w:pStyle w:val="Sinespaciado"/>
        <w:jc w:val="center"/>
        <w:rPr>
          <w:rFonts w:ascii="Arial" w:hAnsi="Arial" w:cs="Arial"/>
          <w:sz w:val="26"/>
          <w:szCs w:val="26"/>
        </w:rPr>
      </w:pPr>
      <w:r>
        <w:rPr>
          <w:rFonts w:ascii="Arial" w:hAnsi="Arial" w:cs="Arial"/>
          <w:sz w:val="26"/>
          <w:szCs w:val="26"/>
        </w:rPr>
        <w:t>SECRETARIA GENERAL DE ACUERDOS.</w:t>
      </w:r>
    </w:p>
    <w:p w14:paraId="30356A86" w14:textId="77777777" w:rsidR="0021190F" w:rsidRDefault="0021190F" w:rsidP="0021190F">
      <w:pPr>
        <w:spacing w:line="360" w:lineRule="auto"/>
        <w:ind w:firstLine="708"/>
        <w:jc w:val="both"/>
        <w:rPr>
          <w:rFonts w:ascii="Arial" w:eastAsia="Calibri" w:hAnsi="Arial" w:cs="Arial"/>
          <w:sz w:val="26"/>
          <w:szCs w:val="26"/>
        </w:rPr>
      </w:pPr>
    </w:p>
    <w:p w14:paraId="3F177ED5" w14:textId="77777777" w:rsidR="00691BFA" w:rsidRPr="0087542B" w:rsidRDefault="00691BFA" w:rsidP="0021190F">
      <w:pPr>
        <w:spacing w:line="360" w:lineRule="auto"/>
        <w:ind w:firstLine="708"/>
        <w:jc w:val="both"/>
      </w:pPr>
    </w:p>
    <w:sectPr w:rsidR="00691BFA" w:rsidRPr="0087542B" w:rsidSect="007D296F">
      <w:headerReference w:type="even" r:id="rId8"/>
      <w:headerReference w:type="default" r:id="rId9"/>
      <w:footerReference w:type="even" r:id="rId10"/>
      <w:footerReference w:type="default" r:id="rId11"/>
      <w:headerReference w:type="first" r:id="rId12"/>
      <w:footerReference w:type="first" r:id="rId13"/>
      <w:pgSz w:w="12240" w:h="20160" w:code="5"/>
      <w:pgMar w:top="1702"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86EBE" w14:textId="77777777" w:rsidR="008C6F16" w:rsidRDefault="008C6F16">
      <w:r>
        <w:separator/>
      </w:r>
    </w:p>
  </w:endnote>
  <w:endnote w:type="continuationSeparator" w:id="0">
    <w:p w14:paraId="7370448E" w14:textId="77777777" w:rsidR="008C6F16" w:rsidRDefault="008C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3718A" w14:textId="034C5F1E" w:rsidR="00B97ED7" w:rsidRDefault="00B97E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412AD" w14:textId="65B55FB4" w:rsidR="00B97ED7" w:rsidRDefault="00B97ED7">
    <w:pPr>
      <w:pStyle w:val="Piedepgina"/>
    </w:pPr>
    <w:r>
      <w:rPr>
        <w:noProof/>
        <w:lang w:eastAsia="es-MX"/>
      </w:rPr>
      <w:drawing>
        <wp:anchor distT="0" distB="0" distL="114300" distR="114300" simplePos="0" relativeHeight="251667456" behindDoc="0" locked="0" layoutInCell="1" allowOverlap="1" wp14:anchorId="3D43537B" wp14:editId="06D17B4B">
          <wp:simplePos x="0" y="0"/>
          <wp:positionH relativeFrom="column">
            <wp:posOffset>-1483360</wp:posOffset>
          </wp:positionH>
          <wp:positionV relativeFrom="paragraph">
            <wp:posOffset>-4865624</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6619A" w14:textId="77777777" w:rsidR="00B97ED7" w:rsidRDefault="00B97E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ACA54" w14:textId="77777777" w:rsidR="008C6F16" w:rsidRDefault="008C6F16">
      <w:r>
        <w:separator/>
      </w:r>
    </w:p>
  </w:footnote>
  <w:footnote w:type="continuationSeparator" w:id="0">
    <w:p w14:paraId="4775F3CC" w14:textId="77777777" w:rsidR="008C6F16" w:rsidRDefault="008C6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334058"/>
      <w:docPartObj>
        <w:docPartGallery w:val="Page Numbers (Top of Page)"/>
        <w:docPartUnique/>
      </w:docPartObj>
    </w:sdtPr>
    <w:sdtEndPr/>
    <w:sdtContent>
      <w:p w14:paraId="581CBFE6" w14:textId="6BA68F46" w:rsidR="00E42971" w:rsidRDefault="00E42971">
        <w:pPr>
          <w:pStyle w:val="Encabezado"/>
          <w:jc w:val="center"/>
        </w:pPr>
        <w:r>
          <w:fldChar w:fldCharType="begin"/>
        </w:r>
        <w:r>
          <w:instrText>PAGE   \* MERGEFORMAT</w:instrText>
        </w:r>
        <w:r>
          <w:fldChar w:fldCharType="separate"/>
        </w:r>
        <w:r w:rsidR="00367B54">
          <w:rPr>
            <w:noProof/>
          </w:rPr>
          <w:t>8</w:t>
        </w:r>
        <w:r>
          <w:fldChar w:fldCharType="end"/>
        </w:r>
      </w:p>
    </w:sdtContent>
  </w:sdt>
  <w:p w14:paraId="61FAD150" w14:textId="23E9B873" w:rsidR="00E42971" w:rsidRDefault="00367B54">
    <w:pPr>
      <w:pStyle w:val="Encabezado"/>
    </w:pPr>
    <w:bookmarkStart w:id="0" w:name="_GoBack"/>
    <w:r>
      <w:rPr>
        <w:noProof/>
        <w:lang w:eastAsia="es-MX"/>
      </w:rPr>
      <w:drawing>
        <wp:anchor distT="0" distB="0" distL="114300" distR="114300" simplePos="0" relativeHeight="251680768" behindDoc="0" locked="0" layoutInCell="1" allowOverlap="1" wp14:anchorId="26A57D78" wp14:editId="2AA59831">
          <wp:simplePos x="0" y="0"/>
          <wp:positionH relativeFrom="column">
            <wp:posOffset>5412232</wp:posOffset>
          </wp:positionH>
          <wp:positionV relativeFrom="paragraph">
            <wp:posOffset>4543679</wp:posOffset>
          </wp:positionV>
          <wp:extent cx="1164590" cy="646430"/>
          <wp:effectExtent l="0" t="0" r="0" b="1270"/>
          <wp:wrapNone/>
          <wp:docPr id="1" name="Imagen 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881914"/>
      <w:docPartObj>
        <w:docPartGallery w:val="Page Numbers (Top of Page)"/>
        <w:docPartUnique/>
      </w:docPartObj>
    </w:sdtPr>
    <w:sdtEndPr/>
    <w:sdtContent>
      <w:p w14:paraId="31616AF9" w14:textId="7EB212EC" w:rsidR="00E42971" w:rsidRDefault="00E42971" w:rsidP="00D2291D">
        <w:pPr>
          <w:pStyle w:val="Encabezado"/>
          <w:jc w:val="center"/>
          <w:rPr>
            <w:noProof/>
          </w:rPr>
        </w:pPr>
        <w:r>
          <w:fldChar w:fldCharType="begin"/>
        </w:r>
        <w:r>
          <w:instrText xml:space="preserve"> PAGE   \* MERGEFORMAT </w:instrText>
        </w:r>
        <w:r>
          <w:fldChar w:fldCharType="separate"/>
        </w:r>
        <w:r w:rsidR="00367B54">
          <w:rPr>
            <w:noProof/>
          </w:rPr>
          <w:t>1</w:t>
        </w:r>
        <w:r>
          <w:rPr>
            <w:noProof/>
          </w:rPr>
          <w:fldChar w:fldCharType="end"/>
        </w:r>
      </w:p>
      <w:p w14:paraId="015197EB" w14:textId="03391A54" w:rsidR="00E42971" w:rsidRDefault="00367B54" w:rsidP="00D2291D">
        <w:pPr>
          <w:pStyle w:val="Encabezado"/>
          <w:jc w:val="center"/>
        </w:pPr>
      </w:p>
    </w:sdtContent>
  </w:sdt>
  <w:p w14:paraId="323DD476" w14:textId="32AE0AE3" w:rsidR="00E42971" w:rsidRDefault="00436D1D" w:rsidP="00D2291D">
    <w:pPr>
      <w:pStyle w:val="Encabezado"/>
      <w:tabs>
        <w:tab w:val="left" w:pos="142"/>
      </w:tabs>
      <w:ind w:left="284"/>
    </w:pPr>
    <w:r w:rsidRPr="003E6AD7">
      <w:rPr>
        <w:noProof/>
        <w:lang w:val="es-MX" w:eastAsia="es-MX"/>
      </w:rPr>
      <w:drawing>
        <wp:anchor distT="0" distB="0" distL="114300" distR="114300" simplePos="0" relativeHeight="251662336" behindDoc="0" locked="0" layoutInCell="1" allowOverlap="1" wp14:anchorId="6C75BE9E" wp14:editId="395151EC">
          <wp:simplePos x="0" y="0"/>
          <wp:positionH relativeFrom="page">
            <wp:posOffset>384276</wp:posOffset>
          </wp:positionH>
          <wp:positionV relativeFrom="paragraph">
            <wp:posOffset>4179770</wp:posOffset>
          </wp:positionV>
          <wp:extent cx="1118870" cy="974725"/>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48000" behindDoc="1" locked="0" layoutInCell="1" allowOverlap="1" wp14:anchorId="5E682522" wp14:editId="45E1ECAD">
          <wp:simplePos x="0" y="0"/>
          <wp:positionH relativeFrom="column">
            <wp:posOffset>-67678</wp:posOffset>
          </wp:positionH>
          <wp:positionV relativeFrom="paragraph">
            <wp:posOffset>3699076</wp:posOffset>
          </wp:positionV>
          <wp:extent cx="5489734" cy="364109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3135" cy="3643346"/>
                  </a:xfrm>
                  <a:prstGeom prst="rect">
                    <a:avLst/>
                  </a:prstGeom>
                  <a:noFill/>
                  <a:ln>
                    <a:noFill/>
                  </a:ln>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648CB" w14:textId="77777777" w:rsidR="00B97ED7" w:rsidRDefault="00B97E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07F0679"/>
    <w:multiLevelType w:val="hybridMultilevel"/>
    <w:tmpl w:val="709C689C"/>
    <w:lvl w:ilvl="0" w:tplc="D3282B9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1DD318E"/>
    <w:multiLevelType w:val="hybridMultilevel"/>
    <w:tmpl w:val="702CC836"/>
    <w:lvl w:ilvl="0" w:tplc="EAE2854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3">
    <w:nsid w:val="5824273D"/>
    <w:multiLevelType w:val="hybridMultilevel"/>
    <w:tmpl w:val="34806AF8"/>
    <w:lvl w:ilvl="0" w:tplc="080A000B">
      <w:start w:val="1"/>
      <w:numFmt w:val="bullet"/>
      <w:lvlText w:val=""/>
      <w:lvlJc w:val="left"/>
      <w:pPr>
        <w:ind w:left="1789" w:hanging="360"/>
      </w:pPr>
      <w:rPr>
        <w:rFonts w:ascii="Wingdings" w:hAnsi="Wingdings"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14">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6">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nsid w:val="6E120936"/>
    <w:multiLevelType w:val="hybridMultilevel"/>
    <w:tmpl w:val="FF483066"/>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5"/>
  </w:num>
  <w:num w:numId="3">
    <w:abstractNumId w:val="16"/>
  </w:num>
  <w:num w:numId="4">
    <w:abstractNumId w:val="12"/>
  </w:num>
  <w:num w:numId="5">
    <w:abstractNumId w:val="3"/>
  </w:num>
  <w:num w:numId="6">
    <w:abstractNumId w:val="18"/>
  </w:num>
  <w:num w:numId="7">
    <w:abstractNumId w:val="0"/>
  </w:num>
  <w:num w:numId="8">
    <w:abstractNumId w:val="14"/>
  </w:num>
  <w:num w:numId="9">
    <w:abstractNumId w:val="9"/>
  </w:num>
  <w:num w:numId="10">
    <w:abstractNumId w:val="6"/>
  </w:num>
  <w:num w:numId="11">
    <w:abstractNumId w:val="7"/>
  </w:num>
  <w:num w:numId="12">
    <w:abstractNumId w:val="10"/>
  </w:num>
  <w:num w:numId="13">
    <w:abstractNumId w:val="4"/>
  </w:num>
  <w:num w:numId="14">
    <w:abstractNumId w:val="15"/>
  </w:num>
  <w:num w:numId="15">
    <w:abstractNumId w:val="11"/>
  </w:num>
  <w:num w:numId="16">
    <w:abstractNumId w:val="2"/>
  </w:num>
  <w:num w:numId="17">
    <w:abstractNumId w:val="17"/>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01FFF"/>
    <w:rsid w:val="00012EC6"/>
    <w:rsid w:val="00014FCF"/>
    <w:rsid w:val="00021E6D"/>
    <w:rsid w:val="00037EC5"/>
    <w:rsid w:val="00040557"/>
    <w:rsid w:val="00040812"/>
    <w:rsid w:val="00040C9F"/>
    <w:rsid w:val="00042043"/>
    <w:rsid w:val="00050BDC"/>
    <w:rsid w:val="0005133C"/>
    <w:rsid w:val="000515DF"/>
    <w:rsid w:val="000533D8"/>
    <w:rsid w:val="00055136"/>
    <w:rsid w:val="00055982"/>
    <w:rsid w:val="00063AEE"/>
    <w:rsid w:val="0006676C"/>
    <w:rsid w:val="0007032E"/>
    <w:rsid w:val="0007468A"/>
    <w:rsid w:val="00081B4F"/>
    <w:rsid w:val="00092B64"/>
    <w:rsid w:val="00097E70"/>
    <w:rsid w:val="000A0212"/>
    <w:rsid w:val="000A3C35"/>
    <w:rsid w:val="000B0E36"/>
    <w:rsid w:val="000B3E39"/>
    <w:rsid w:val="000B5EDF"/>
    <w:rsid w:val="000B647C"/>
    <w:rsid w:val="000C16C8"/>
    <w:rsid w:val="000D3A15"/>
    <w:rsid w:val="000D613D"/>
    <w:rsid w:val="000E3723"/>
    <w:rsid w:val="000E4F90"/>
    <w:rsid w:val="000F3866"/>
    <w:rsid w:val="0010116F"/>
    <w:rsid w:val="00114CC5"/>
    <w:rsid w:val="0012652F"/>
    <w:rsid w:val="00132D70"/>
    <w:rsid w:val="00134084"/>
    <w:rsid w:val="001346F2"/>
    <w:rsid w:val="00147F10"/>
    <w:rsid w:val="001548AE"/>
    <w:rsid w:val="00163736"/>
    <w:rsid w:val="00164900"/>
    <w:rsid w:val="00166448"/>
    <w:rsid w:val="001720D6"/>
    <w:rsid w:val="00172528"/>
    <w:rsid w:val="001830A2"/>
    <w:rsid w:val="00185992"/>
    <w:rsid w:val="00186E02"/>
    <w:rsid w:val="00194DAA"/>
    <w:rsid w:val="00195BEA"/>
    <w:rsid w:val="001B49BA"/>
    <w:rsid w:val="001B4BF9"/>
    <w:rsid w:val="001C362A"/>
    <w:rsid w:val="001C49AF"/>
    <w:rsid w:val="001C7781"/>
    <w:rsid w:val="001D09E2"/>
    <w:rsid w:val="001D1CC8"/>
    <w:rsid w:val="001E1D05"/>
    <w:rsid w:val="001E5ED9"/>
    <w:rsid w:val="001F2610"/>
    <w:rsid w:val="001F5246"/>
    <w:rsid w:val="00201B85"/>
    <w:rsid w:val="0021190F"/>
    <w:rsid w:val="002226C7"/>
    <w:rsid w:val="00240FFF"/>
    <w:rsid w:val="00243890"/>
    <w:rsid w:val="002451B0"/>
    <w:rsid w:val="002452C9"/>
    <w:rsid w:val="00247748"/>
    <w:rsid w:val="00261F8C"/>
    <w:rsid w:val="00263F98"/>
    <w:rsid w:val="0026442C"/>
    <w:rsid w:val="00270FA6"/>
    <w:rsid w:val="00272D8A"/>
    <w:rsid w:val="00276C24"/>
    <w:rsid w:val="00276E2E"/>
    <w:rsid w:val="002813BE"/>
    <w:rsid w:val="002A0206"/>
    <w:rsid w:val="002A0B0E"/>
    <w:rsid w:val="002A7840"/>
    <w:rsid w:val="002B3B6E"/>
    <w:rsid w:val="002B4000"/>
    <w:rsid w:val="002B6840"/>
    <w:rsid w:val="002C02F3"/>
    <w:rsid w:val="002C0700"/>
    <w:rsid w:val="002C2605"/>
    <w:rsid w:val="002D1A4A"/>
    <w:rsid w:val="002D4556"/>
    <w:rsid w:val="002E302D"/>
    <w:rsid w:val="002E3804"/>
    <w:rsid w:val="002F0C1F"/>
    <w:rsid w:val="002F3369"/>
    <w:rsid w:val="002F6D1A"/>
    <w:rsid w:val="003002FE"/>
    <w:rsid w:val="003007EB"/>
    <w:rsid w:val="003139A0"/>
    <w:rsid w:val="00316443"/>
    <w:rsid w:val="0031747B"/>
    <w:rsid w:val="00320CE1"/>
    <w:rsid w:val="00326E17"/>
    <w:rsid w:val="00335242"/>
    <w:rsid w:val="00341DB1"/>
    <w:rsid w:val="00353473"/>
    <w:rsid w:val="00360086"/>
    <w:rsid w:val="00367B54"/>
    <w:rsid w:val="00376A08"/>
    <w:rsid w:val="00393983"/>
    <w:rsid w:val="003C3698"/>
    <w:rsid w:val="003C4C76"/>
    <w:rsid w:val="003D0FD1"/>
    <w:rsid w:val="003D7D73"/>
    <w:rsid w:val="003E2A35"/>
    <w:rsid w:val="003E3369"/>
    <w:rsid w:val="003E6B2B"/>
    <w:rsid w:val="003E709B"/>
    <w:rsid w:val="003F21BE"/>
    <w:rsid w:val="003F4DA0"/>
    <w:rsid w:val="00404275"/>
    <w:rsid w:val="00404654"/>
    <w:rsid w:val="00405AF3"/>
    <w:rsid w:val="00405E65"/>
    <w:rsid w:val="00421F5B"/>
    <w:rsid w:val="004309A3"/>
    <w:rsid w:val="00433A5A"/>
    <w:rsid w:val="00434B8B"/>
    <w:rsid w:val="00436D1D"/>
    <w:rsid w:val="00436E56"/>
    <w:rsid w:val="00437131"/>
    <w:rsid w:val="00442F80"/>
    <w:rsid w:val="004447C8"/>
    <w:rsid w:val="004505CE"/>
    <w:rsid w:val="00452E9D"/>
    <w:rsid w:val="00453503"/>
    <w:rsid w:val="0046514D"/>
    <w:rsid w:val="00471568"/>
    <w:rsid w:val="004717D1"/>
    <w:rsid w:val="00471F7C"/>
    <w:rsid w:val="004816C1"/>
    <w:rsid w:val="00492852"/>
    <w:rsid w:val="0049627F"/>
    <w:rsid w:val="004A0D4D"/>
    <w:rsid w:val="004A5D49"/>
    <w:rsid w:val="004A650B"/>
    <w:rsid w:val="004C4BEF"/>
    <w:rsid w:val="004D05D6"/>
    <w:rsid w:val="004D2667"/>
    <w:rsid w:val="004D5DF9"/>
    <w:rsid w:val="004E2127"/>
    <w:rsid w:val="004F7FD5"/>
    <w:rsid w:val="00500A28"/>
    <w:rsid w:val="00502A34"/>
    <w:rsid w:val="00503C04"/>
    <w:rsid w:val="005046F5"/>
    <w:rsid w:val="005141BA"/>
    <w:rsid w:val="0051535E"/>
    <w:rsid w:val="00517757"/>
    <w:rsid w:val="00517C71"/>
    <w:rsid w:val="00534CB6"/>
    <w:rsid w:val="0054737A"/>
    <w:rsid w:val="00551C17"/>
    <w:rsid w:val="005619F2"/>
    <w:rsid w:val="005623BA"/>
    <w:rsid w:val="005650C9"/>
    <w:rsid w:val="00567A36"/>
    <w:rsid w:val="0057641D"/>
    <w:rsid w:val="00581B90"/>
    <w:rsid w:val="00583516"/>
    <w:rsid w:val="0058355E"/>
    <w:rsid w:val="00583F0F"/>
    <w:rsid w:val="005A019C"/>
    <w:rsid w:val="005C1E3F"/>
    <w:rsid w:val="005C3333"/>
    <w:rsid w:val="005D1C12"/>
    <w:rsid w:val="005D2834"/>
    <w:rsid w:val="005D33DB"/>
    <w:rsid w:val="005D3F5E"/>
    <w:rsid w:val="005D6A93"/>
    <w:rsid w:val="005F434C"/>
    <w:rsid w:val="005F5963"/>
    <w:rsid w:val="005F5B5A"/>
    <w:rsid w:val="0060140C"/>
    <w:rsid w:val="00603935"/>
    <w:rsid w:val="00614FAE"/>
    <w:rsid w:val="00620F0A"/>
    <w:rsid w:val="00622DDE"/>
    <w:rsid w:val="00625196"/>
    <w:rsid w:val="00634147"/>
    <w:rsid w:val="00634435"/>
    <w:rsid w:val="00636D8D"/>
    <w:rsid w:val="006373FB"/>
    <w:rsid w:val="0064024F"/>
    <w:rsid w:val="00640FB7"/>
    <w:rsid w:val="00655CCC"/>
    <w:rsid w:val="00656F1D"/>
    <w:rsid w:val="00657201"/>
    <w:rsid w:val="0066256D"/>
    <w:rsid w:val="00662969"/>
    <w:rsid w:val="00683AC4"/>
    <w:rsid w:val="00684E14"/>
    <w:rsid w:val="006850D2"/>
    <w:rsid w:val="00685403"/>
    <w:rsid w:val="00685972"/>
    <w:rsid w:val="00691BFA"/>
    <w:rsid w:val="006B670E"/>
    <w:rsid w:val="006B77A0"/>
    <w:rsid w:val="006C2BDB"/>
    <w:rsid w:val="006C530F"/>
    <w:rsid w:val="006C5486"/>
    <w:rsid w:val="006C7FC4"/>
    <w:rsid w:val="006F0298"/>
    <w:rsid w:val="006F271C"/>
    <w:rsid w:val="00703F06"/>
    <w:rsid w:val="00704BEF"/>
    <w:rsid w:val="007072C4"/>
    <w:rsid w:val="0071510F"/>
    <w:rsid w:val="0072015D"/>
    <w:rsid w:val="00720A67"/>
    <w:rsid w:val="0072208F"/>
    <w:rsid w:val="0072512C"/>
    <w:rsid w:val="0072648B"/>
    <w:rsid w:val="007317E2"/>
    <w:rsid w:val="00741273"/>
    <w:rsid w:val="00746018"/>
    <w:rsid w:val="007557B3"/>
    <w:rsid w:val="00760D05"/>
    <w:rsid w:val="007702E9"/>
    <w:rsid w:val="007747E8"/>
    <w:rsid w:val="00775F1D"/>
    <w:rsid w:val="00776EDB"/>
    <w:rsid w:val="00782842"/>
    <w:rsid w:val="007836DE"/>
    <w:rsid w:val="00797735"/>
    <w:rsid w:val="00797F51"/>
    <w:rsid w:val="007A48EF"/>
    <w:rsid w:val="007B1F9C"/>
    <w:rsid w:val="007C2E95"/>
    <w:rsid w:val="007C4404"/>
    <w:rsid w:val="007C56D8"/>
    <w:rsid w:val="007C5DEF"/>
    <w:rsid w:val="007D295E"/>
    <w:rsid w:val="007D296F"/>
    <w:rsid w:val="007D7E00"/>
    <w:rsid w:val="007E10CB"/>
    <w:rsid w:val="007E33B1"/>
    <w:rsid w:val="007E675E"/>
    <w:rsid w:val="007F2469"/>
    <w:rsid w:val="007F2603"/>
    <w:rsid w:val="007F2E08"/>
    <w:rsid w:val="007F3346"/>
    <w:rsid w:val="007F7264"/>
    <w:rsid w:val="00800765"/>
    <w:rsid w:val="008020DD"/>
    <w:rsid w:val="00806D7E"/>
    <w:rsid w:val="0080735F"/>
    <w:rsid w:val="008132C5"/>
    <w:rsid w:val="008152EF"/>
    <w:rsid w:val="008215C6"/>
    <w:rsid w:val="008248DE"/>
    <w:rsid w:val="0082574A"/>
    <w:rsid w:val="00825AD0"/>
    <w:rsid w:val="00840483"/>
    <w:rsid w:val="008445B8"/>
    <w:rsid w:val="0084506D"/>
    <w:rsid w:val="00845EFA"/>
    <w:rsid w:val="00851821"/>
    <w:rsid w:val="00852024"/>
    <w:rsid w:val="00865C90"/>
    <w:rsid w:val="0087542B"/>
    <w:rsid w:val="008854E2"/>
    <w:rsid w:val="008861ED"/>
    <w:rsid w:val="008874EC"/>
    <w:rsid w:val="00894A24"/>
    <w:rsid w:val="008B057F"/>
    <w:rsid w:val="008B14E8"/>
    <w:rsid w:val="008B5197"/>
    <w:rsid w:val="008C0DD3"/>
    <w:rsid w:val="008C4258"/>
    <w:rsid w:val="008C6F16"/>
    <w:rsid w:val="008D6D00"/>
    <w:rsid w:val="008E1400"/>
    <w:rsid w:val="008E7491"/>
    <w:rsid w:val="008F4C05"/>
    <w:rsid w:val="008F6DE1"/>
    <w:rsid w:val="0090160E"/>
    <w:rsid w:val="00903E9B"/>
    <w:rsid w:val="00906D2A"/>
    <w:rsid w:val="00920723"/>
    <w:rsid w:val="009261DC"/>
    <w:rsid w:val="00930102"/>
    <w:rsid w:val="00935483"/>
    <w:rsid w:val="00937DF3"/>
    <w:rsid w:val="0094076A"/>
    <w:rsid w:val="00944DC3"/>
    <w:rsid w:val="009474F4"/>
    <w:rsid w:val="00950C0F"/>
    <w:rsid w:val="00950C2C"/>
    <w:rsid w:val="009512E4"/>
    <w:rsid w:val="009578DB"/>
    <w:rsid w:val="00960AEA"/>
    <w:rsid w:val="009626AC"/>
    <w:rsid w:val="00962BE0"/>
    <w:rsid w:val="00970EDB"/>
    <w:rsid w:val="009715C0"/>
    <w:rsid w:val="00973936"/>
    <w:rsid w:val="00974996"/>
    <w:rsid w:val="00976446"/>
    <w:rsid w:val="00987E4B"/>
    <w:rsid w:val="00991F13"/>
    <w:rsid w:val="00997F9D"/>
    <w:rsid w:val="009A4275"/>
    <w:rsid w:val="009B1B6B"/>
    <w:rsid w:val="009C47A0"/>
    <w:rsid w:val="009D310D"/>
    <w:rsid w:val="009D5065"/>
    <w:rsid w:val="009E0382"/>
    <w:rsid w:val="009E22A6"/>
    <w:rsid w:val="009E43BE"/>
    <w:rsid w:val="009E4460"/>
    <w:rsid w:val="009E4AA5"/>
    <w:rsid w:val="009F4C00"/>
    <w:rsid w:val="00A012FC"/>
    <w:rsid w:val="00A0247D"/>
    <w:rsid w:val="00A06591"/>
    <w:rsid w:val="00A0712D"/>
    <w:rsid w:val="00A118D3"/>
    <w:rsid w:val="00A149DB"/>
    <w:rsid w:val="00A351BA"/>
    <w:rsid w:val="00A508BD"/>
    <w:rsid w:val="00A52EA5"/>
    <w:rsid w:val="00A53BF4"/>
    <w:rsid w:val="00A554F5"/>
    <w:rsid w:val="00A57406"/>
    <w:rsid w:val="00A61271"/>
    <w:rsid w:val="00A62DCB"/>
    <w:rsid w:val="00A66965"/>
    <w:rsid w:val="00A67B19"/>
    <w:rsid w:val="00A761EF"/>
    <w:rsid w:val="00A801C2"/>
    <w:rsid w:val="00A878EC"/>
    <w:rsid w:val="00A95AF0"/>
    <w:rsid w:val="00AA54BB"/>
    <w:rsid w:val="00AA7FEC"/>
    <w:rsid w:val="00AB5612"/>
    <w:rsid w:val="00AB5776"/>
    <w:rsid w:val="00AD136D"/>
    <w:rsid w:val="00AD13B8"/>
    <w:rsid w:val="00AD1C65"/>
    <w:rsid w:val="00AD4F1A"/>
    <w:rsid w:val="00AE3A0D"/>
    <w:rsid w:val="00AE6266"/>
    <w:rsid w:val="00AE6D5F"/>
    <w:rsid w:val="00AF2C6A"/>
    <w:rsid w:val="00AF3388"/>
    <w:rsid w:val="00AF4C18"/>
    <w:rsid w:val="00B03795"/>
    <w:rsid w:val="00B06703"/>
    <w:rsid w:val="00B24E66"/>
    <w:rsid w:val="00B27EA9"/>
    <w:rsid w:val="00B37EE5"/>
    <w:rsid w:val="00B43356"/>
    <w:rsid w:val="00B45896"/>
    <w:rsid w:val="00B459B6"/>
    <w:rsid w:val="00B504F0"/>
    <w:rsid w:val="00B52EF2"/>
    <w:rsid w:val="00B5683B"/>
    <w:rsid w:val="00B7107F"/>
    <w:rsid w:val="00B739C1"/>
    <w:rsid w:val="00B7510A"/>
    <w:rsid w:val="00B9012C"/>
    <w:rsid w:val="00B902CA"/>
    <w:rsid w:val="00B97ED7"/>
    <w:rsid w:val="00BA3247"/>
    <w:rsid w:val="00BA48B4"/>
    <w:rsid w:val="00BA554F"/>
    <w:rsid w:val="00BC3683"/>
    <w:rsid w:val="00BD029B"/>
    <w:rsid w:val="00BD5633"/>
    <w:rsid w:val="00BE62EB"/>
    <w:rsid w:val="00BF1B8B"/>
    <w:rsid w:val="00BF5234"/>
    <w:rsid w:val="00C007E6"/>
    <w:rsid w:val="00C04E1E"/>
    <w:rsid w:val="00C12005"/>
    <w:rsid w:val="00C345FA"/>
    <w:rsid w:val="00C368FF"/>
    <w:rsid w:val="00C413FC"/>
    <w:rsid w:val="00C64FB6"/>
    <w:rsid w:val="00C67F22"/>
    <w:rsid w:val="00C7339B"/>
    <w:rsid w:val="00C76277"/>
    <w:rsid w:val="00C77373"/>
    <w:rsid w:val="00C86510"/>
    <w:rsid w:val="00C910A1"/>
    <w:rsid w:val="00C92F4B"/>
    <w:rsid w:val="00C9587A"/>
    <w:rsid w:val="00C95FF7"/>
    <w:rsid w:val="00CA20EC"/>
    <w:rsid w:val="00CA4BD9"/>
    <w:rsid w:val="00CA5FC1"/>
    <w:rsid w:val="00CA64E0"/>
    <w:rsid w:val="00CC192F"/>
    <w:rsid w:val="00CC1B0B"/>
    <w:rsid w:val="00CC1E99"/>
    <w:rsid w:val="00CC4FE0"/>
    <w:rsid w:val="00CE438C"/>
    <w:rsid w:val="00CE5DE0"/>
    <w:rsid w:val="00CF55A7"/>
    <w:rsid w:val="00D05C72"/>
    <w:rsid w:val="00D10593"/>
    <w:rsid w:val="00D149B5"/>
    <w:rsid w:val="00D2291D"/>
    <w:rsid w:val="00D621AC"/>
    <w:rsid w:val="00D73FCC"/>
    <w:rsid w:val="00D755DB"/>
    <w:rsid w:val="00D80903"/>
    <w:rsid w:val="00D81032"/>
    <w:rsid w:val="00D874EF"/>
    <w:rsid w:val="00D91FC1"/>
    <w:rsid w:val="00D93191"/>
    <w:rsid w:val="00DA0278"/>
    <w:rsid w:val="00DA028D"/>
    <w:rsid w:val="00DA1814"/>
    <w:rsid w:val="00DA2871"/>
    <w:rsid w:val="00DA4508"/>
    <w:rsid w:val="00DB31F8"/>
    <w:rsid w:val="00DB6617"/>
    <w:rsid w:val="00DB6921"/>
    <w:rsid w:val="00DC30B7"/>
    <w:rsid w:val="00DD3DBF"/>
    <w:rsid w:val="00DD63D4"/>
    <w:rsid w:val="00DD6D8E"/>
    <w:rsid w:val="00DD7EA5"/>
    <w:rsid w:val="00DE2E63"/>
    <w:rsid w:val="00DE4F9D"/>
    <w:rsid w:val="00DF0F1C"/>
    <w:rsid w:val="00DF186E"/>
    <w:rsid w:val="00DF6206"/>
    <w:rsid w:val="00DF79D7"/>
    <w:rsid w:val="00E00E02"/>
    <w:rsid w:val="00E12EAB"/>
    <w:rsid w:val="00E15DC9"/>
    <w:rsid w:val="00E30131"/>
    <w:rsid w:val="00E411D2"/>
    <w:rsid w:val="00E42971"/>
    <w:rsid w:val="00E506C6"/>
    <w:rsid w:val="00E623DB"/>
    <w:rsid w:val="00E65999"/>
    <w:rsid w:val="00E7248F"/>
    <w:rsid w:val="00E7288B"/>
    <w:rsid w:val="00E76E8A"/>
    <w:rsid w:val="00E803DF"/>
    <w:rsid w:val="00E81A1F"/>
    <w:rsid w:val="00E82872"/>
    <w:rsid w:val="00E8373D"/>
    <w:rsid w:val="00EA0164"/>
    <w:rsid w:val="00EA2161"/>
    <w:rsid w:val="00EA6CCD"/>
    <w:rsid w:val="00EA6F11"/>
    <w:rsid w:val="00EA7228"/>
    <w:rsid w:val="00EB1060"/>
    <w:rsid w:val="00EC3544"/>
    <w:rsid w:val="00EC71E5"/>
    <w:rsid w:val="00ED2897"/>
    <w:rsid w:val="00ED4E6C"/>
    <w:rsid w:val="00ED5CE2"/>
    <w:rsid w:val="00ED7273"/>
    <w:rsid w:val="00EF13FF"/>
    <w:rsid w:val="00F034AB"/>
    <w:rsid w:val="00F17083"/>
    <w:rsid w:val="00F213FF"/>
    <w:rsid w:val="00F23FAE"/>
    <w:rsid w:val="00F24A0E"/>
    <w:rsid w:val="00F32F4F"/>
    <w:rsid w:val="00F411C3"/>
    <w:rsid w:val="00F43172"/>
    <w:rsid w:val="00F4362A"/>
    <w:rsid w:val="00F4657C"/>
    <w:rsid w:val="00F50AC5"/>
    <w:rsid w:val="00F514DA"/>
    <w:rsid w:val="00F53ACF"/>
    <w:rsid w:val="00F56FED"/>
    <w:rsid w:val="00F6050F"/>
    <w:rsid w:val="00F64995"/>
    <w:rsid w:val="00F732BD"/>
    <w:rsid w:val="00F81383"/>
    <w:rsid w:val="00F84393"/>
    <w:rsid w:val="00F85095"/>
    <w:rsid w:val="00F96657"/>
    <w:rsid w:val="00FA2D3D"/>
    <w:rsid w:val="00FA6D20"/>
    <w:rsid w:val="00FB5411"/>
    <w:rsid w:val="00FB57DE"/>
    <w:rsid w:val="00FB72FB"/>
    <w:rsid w:val="00FC3747"/>
    <w:rsid w:val="00FC764A"/>
    <w:rsid w:val="00FD22B3"/>
    <w:rsid w:val="00FD2DA3"/>
    <w:rsid w:val="00FD6022"/>
    <w:rsid w:val="00FE5212"/>
    <w:rsid w:val="00FE7933"/>
    <w:rsid w:val="00FF43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90AD76"/>
  <w15:docId w15:val="{B74CA242-4287-4FD0-A78C-6034494A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rPr>
      <w:sz w:val="20"/>
      <w:szCs w:val="20"/>
      <w:lang w:val="es-ES"/>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13823183">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857422513">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C0387812-5BF7-41DC-9C7A-B02EE555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Pages>
  <Words>2884</Words>
  <Characters>15862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15</cp:revision>
  <cp:lastPrinted>2018-06-28T18:37:00Z</cp:lastPrinted>
  <dcterms:created xsi:type="dcterms:W3CDTF">2019-02-01T16:16:00Z</dcterms:created>
  <dcterms:modified xsi:type="dcterms:W3CDTF">2019-04-08T20:23:00Z</dcterms:modified>
</cp:coreProperties>
</file>