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CC" w:rsidRDefault="00D716CC" w:rsidP="00D716CC">
      <w:pPr>
        <w:ind w:left="2127" w:right="474"/>
        <w:jc w:val="both"/>
        <w:rPr>
          <w:rFonts w:ascii="Arial" w:hAnsi="Arial" w:cs="Arial"/>
          <w:b/>
          <w:sz w:val="26"/>
          <w:szCs w:val="26"/>
        </w:rPr>
      </w:pPr>
    </w:p>
    <w:p w:rsidR="00D716CC" w:rsidRDefault="00D716CC" w:rsidP="00D716CC">
      <w:pPr>
        <w:ind w:left="2977" w:right="474"/>
        <w:jc w:val="both"/>
        <w:rPr>
          <w:rFonts w:ascii="Arial" w:hAnsi="Arial" w:cs="Arial"/>
          <w:b/>
          <w:sz w:val="26"/>
          <w:szCs w:val="26"/>
        </w:rPr>
      </w:pPr>
      <w:r w:rsidRPr="00DB04B5">
        <w:rPr>
          <w:rFonts w:ascii="Arial" w:hAnsi="Arial" w:cs="Arial"/>
          <w:b/>
          <w:sz w:val="26"/>
          <w:szCs w:val="26"/>
        </w:rPr>
        <w:t>SALA SU</w:t>
      </w:r>
      <w:r w:rsidR="00870EE9">
        <w:rPr>
          <w:rFonts w:ascii="Arial" w:hAnsi="Arial" w:cs="Arial"/>
          <w:b/>
          <w:sz w:val="26"/>
          <w:szCs w:val="26"/>
        </w:rPr>
        <w:t xml:space="preserve">PERIOR DEL TRIBUNAL DE JUSTICIA </w:t>
      </w:r>
      <w:r w:rsidRPr="00DB04B5">
        <w:rPr>
          <w:rFonts w:ascii="Arial" w:hAnsi="Arial" w:cs="Arial"/>
          <w:b/>
          <w:sz w:val="26"/>
          <w:szCs w:val="26"/>
        </w:rPr>
        <w:t>ADMINISTRATRIVA DEL ESTADO DE OAXACA</w:t>
      </w:r>
      <w:r>
        <w:rPr>
          <w:rFonts w:ascii="Arial" w:hAnsi="Arial" w:cs="Arial"/>
          <w:b/>
          <w:sz w:val="26"/>
          <w:szCs w:val="26"/>
        </w:rPr>
        <w:t>.</w:t>
      </w:r>
    </w:p>
    <w:p w:rsidR="00870EE9" w:rsidRPr="00DD4DB8" w:rsidRDefault="00870EE9" w:rsidP="00D716CC">
      <w:pPr>
        <w:ind w:left="2977" w:right="474"/>
        <w:jc w:val="both"/>
        <w:rPr>
          <w:rFonts w:ascii="Arial" w:hAnsi="Arial" w:cs="Arial"/>
          <w:b/>
          <w:sz w:val="26"/>
          <w:szCs w:val="26"/>
        </w:rPr>
      </w:pPr>
    </w:p>
    <w:p w:rsidR="00D716CC" w:rsidRDefault="00D716CC" w:rsidP="00870EE9">
      <w:pPr>
        <w:spacing w:line="276" w:lineRule="auto"/>
        <w:ind w:left="2977" w:right="474"/>
        <w:jc w:val="both"/>
        <w:rPr>
          <w:rFonts w:ascii="Arial" w:hAnsi="Arial" w:cs="Arial"/>
          <w:b/>
          <w:sz w:val="26"/>
          <w:szCs w:val="26"/>
        </w:rPr>
      </w:pPr>
      <w:r w:rsidRPr="00DB04B5">
        <w:rPr>
          <w:rFonts w:ascii="Arial" w:hAnsi="Arial" w:cs="Arial"/>
          <w:b/>
          <w:sz w:val="26"/>
          <w:szCs w:val="26"/>
        </w:rPr>
        <w:t>RECURSO DE REVISIÓN:</w:t>
      </w:r>
      <w:r w:rsidRPr="00DB04B5">
        <w:rPr>
          <w:rFonts w:ascii="Arial" w:hAnsi="Arial" w:cs="Arial"/>
          <w:b/>
          <w:sz w:val="26"/>
          <w:szCs w:val="26"/>
        </w:rPr>
        <w:tab/>
      </w:r>
      <w:r>
        <w:rPr>
          <w:rFonts w:ascii="Arial" w:hAnsi="Arial" w:cs="Arial"/>
          <w:b/>
          <w:sz w:val="26"/>
          <w:szCs w:val="26"/>
        </w:rPr>
        <w:t>0016</w:t>
      </w:r>
      <w:r w:rsidRPr="00DB04B5">
        <w:rPr>
          <w:rFonts w:ascii="Arial" w:hAnsi="Arial" w:cs="Arial"/>
          <w:b/>
          <w:sz w:val="26"/>
          <w:szCs w:val="26"/>
        </w:rPr>
        <w:t>/201</w:t>
      </w:r>
      <w:r>
        <w:rPr>
          <w:rFonts w:ascii="Arial" w:hAnsi="Arial" w:cs="Arial"/>
          <w:b/>
          <w:sz w:val="26"/>
          <w:szCs w:val="26"/>
        </w:rPr>
        <w:t>9.</w:t>
      </w:r>
    </w:p>
    <w:p w:rsidR="00870EE9" w:rsidRPr="00DB04B5" w:rsidRDefault="00870EE9" w:rsidP="00870EE9">
      <w:pPr>
        <w:spacing w:line="276" w:lineRule="auto"/>
        <w:ind w:left="2977" w:right="474"/>
        <w:jc w:val="both"/>
        <w:rPr>
          <w:rFonts w:ascii="Arial" w:hAnsi="Arial" w:cs="Arial"/>
          <w:b/>
          <w:sz w:val="26"/>
          <w:szCs w:val="26"/>
        </w:rPr>
      </w:pPr>
    </w:p>
    <w:p w:rsidR="00D716CC" w:rsidRPr="00DB04B5" w:rsidRDefault="00D716CC" w:rsidP="00870EE9">
      <w:pPr>
        <w:spacing w:line="276" w:lineRule="auto"/>
        <w:ind w:left="2977" w:right="474"/>
        <w:jc w:val="both"/>
        <w:rPr>
          <w:rFonts w:ascii="Arial" w:hAnsi="Arial" w:cs="Arial"/>
          <w:b/>
          <w:sz w:val="26"/>
          <w:szCs w:val="26"/>
        </w:rPr>
      </w:pPr>
      <w:r w:rsidRPr="00DB04B5">
        <w:rPr>
          <w:rFonts w:ascii="Arial" w:hAnsi="Arial" w:cs="Arial"/>
          <w:b/>
          <w:sz w:val="26"/>
          <w:szCs w:val="26"/>
        </w:rPr>
        <w:t>EXPEDIENTE:</w:t>
      </w:r>
      <w:r w:rsidRPr="00DB04B5">
        <w:rPr>
          <w:rFonts w:ascii="Arial" w:hAnsi="Arial" w:cs="Arial"/>
          <w:b/>
          <w:sz w:val="26"/>
          <w:szCs w:val="26"/>
        </w:rPr>
        <w:tab/>
      </w:r>
      <w:r>
        <w:rPr>
          <w:rFonts w:ascii="Arial" w:hAnsi="Arial" w:cs="Arial"/>
          <w:b/>
          <w:sz w:val="26"/>
          <w:szCs w:val="26"/>
        </w:rPr>
        <w:t>0047</w:t>
      </w:r>
      <w:r w:rsidRPr="00DB04B5">
        <w:rPr>
          <w:rFonts w:ascii="Arial" w:hAnsi="Arial" w:cs="Arial"/>
          <w:b/>
          <w:sz w:val="26"/>
          <w:szCs w:val="26"/>
        </w:rPr>
        <w:t>/201</w:t>
      </w:r>
      <w:r>
        <w:rPr>
          <w:rFonts w:ascii="Arial" w:hAnsi="Arial" w:cs="Arial"/>
          <w:b/>
          <w:sz w:val="26"/>
          <w:szCs w:val="26"/>
        </w:rPr>
        <w:t>8</w:t>
      </w:r>
      <w:r w:rsidRPr="00DB04B5">
        <w:rPr>
          <w:rFonts w:ascii="Arial" w:hAnsi="Arial" w:cs="Arial"/>
          <w:b/>
          <w:sz w:val="26"/>
          <w:szCs w:val="26"/>
        </w:rPr>
        <w:t xml:space="preserve"> </w:t>
      </w:r>
      <w:r w:rsidR="00870EE9">
        <w:rPr>
          <w:rFonts w:ascii="Arial" w:hAnsi="Arial" w:cs="Arial"/>
          <w:b/>
          <w:sz w:val="26"/>
          <w:szCs w:val="26"/>
        </w:rPr>
        <w:t xml:space="preserve">PRIMERA </w:t>
      </w:r>
      <w:r w:rsidRPr="00DB04B5">
        <w:rPr>
          <w:rFonts w:ascii="Arial" w:hAnsi="Arial" w:cs="Arial"/>
          <w:b/>
          <w:sz w:val="26"/>
          <w:szCs w:val="26"/>
        </w:rPr>
        <w:t>SALA UNITARIA DE PRIMERA INSTANCIA</w:t>
      </w:r>
      <w:r>
        <w:rPr>
          <w:rFonts w:ascii="Arial" w:hAnsi="Arial" w:cs="Arial"/>
          <w:b/>
          <w:sz w:val="26"/>
          <w:szCs w:val="26"/>
        </w:rPr>
        <w:t>.</w:t>
      </w:r>
    </w:p>
    <w:p w:rsidR="00870EE9" w:rsidRDefault="00870EE9" w:rsidP="00870EE9">
      <w:pPr>
        <w:spacing w:line="276" w:lineRule="auto"/>
        <w:ind w:left="2977" w:right="474"/>
        <w:jc w:val="both"/>
        <w:rPr>
          <w:rFonts w:ascii="Arial" w:hAnsi="Arial" w:cs="Arial"/>
          <w:b/>
          <w:sz w:val="26"/>
          <w:szCs w:val="26"/>
        </w:rPr>
      </w:pPr>
    </w:p>
    <w:p w:rsidR="00D716CC" w:rsidRDefault="00D716CC" w:rsidP="00870EE9">
      <w:pPr>
        <w:spacing w:line="276" w:lineRule="auto"/>
        <w:ind w:left="2977" w:right="474"/>
        <w:jc w:val="both"/>
        <w:rPr>
          <w:rFonts w:ascii="Arial" w:hAnsi="Arial" w:cs="Arial"/>
          <w:b/>
          <w:sz w:val="26"/>
          <w:szCs w:val="26"/>
        </w:rPr>
      </w:pPr>
      <w:r w:rsidRPr="00DB04B5">
        <w:rPr>
          <w:rFonts w:ascii="Arial" w:hAnsi="Arial" w:cs="Arial"/>
          <w:b/>
          <w:sz w:val="26"/>
          <w:szCs w:val="26"/>
        </w:rPr>
        <w:t xml:space="preserve">PONENTE: </w:t>
      </w:r>
      <w:r w:rsidR="00870EE9">
        <w:rPr>
          <w:rFonts w:ascii="Arial" w:hAnsi="Arial" w:cs="Arial"/>
          <w:b/>
          <w:sz w:val="26"/>
          <w:szCs w:val="26"/>
        </w:rPr>
        <w:t xml:space="preserve">MAGISTRADO </w:t>
      </w:r>
      <w:r>
        <w:rPr>
          <w:rFonts w:ascii="Arial" w:hAnsi="Arial" w:cs="Arial"/>
          <w:b/>
          <w:sz w:val="26"/>
          <w:szCs w:val="26"/>
        </w:rPr>
        <w:t>ADRIÁN QUIROGA AVENDAÑO.</w:t>
      </w:r>
    </w:p>
    <w:p w:rsidR="00D716CC" w:rsidRPr="00DB04B5" w:rsidRDefault="00D716CC" w:rsidP="00D716CC">
      <w:pPr>
        <w:spacing w:line="360" w:lineRule="auto"/>
        <w:ind w:left="2124"/>
        <w:jc w:val="both"/>
        <w:rPr>
          <w:rFonts w:ascii="Arial" w:hAnsi="Arial" w:cs="Arial"/>
          <w:b/>
          <w:sz w:val="26"/>
          <w:szCs w:val="26"/>
        </w:rPr>
      </w:pPr>
    </w:p>
    <w:p w:rsidR="00D716CC" w:rsidRDefault="00D716CC" w:rsidP="00D716CC">
      <w:pPr>
        <w:spacing w:after="200" w:line="360" w:lineRule="auto"/>
        <w:jc w:val="both"/>
        <w:rPr>
          <w:rFonts w:ascii="Arial" w:hAnsi="Arial" w:cs="Arial"/>
          <w:b/>
          <w:sz w:val="26"/>
          <w:szCs w:val="26"/>
        </w:rPr>
      </w:pPr>
    </w:p>
    <w:p w:rsidR="00D716CC" w:rsidRDefault="00870EE9" w:rsidP="00D716CC">
      <w:pPr>
        <w:spacing w:after="200" w:line="360" w:lineRule="auto"/>
        <w:jc w:val="both"/>
        <w:rPr>
          <w:rFonts w:ascii="Arial" w:hAnsi="Arial" w:cs="Arial"/>
          <w:b/>
          <w:sz w:val="26"/>
          <w:szCs w:val="26"/>
        </w:rPr>
      </w:pPr>
      <w:r>
        <w:rPr>
          <w:rFonts w:ascii="Arial" w:hAnsi="Arial" w:cs="Arial"/>
          <w:b/>
          <w:sz w:val="26"/>
          <w:szCs w:val="26"/>
        </w:rPr>
        <w:t xml:space="preserve">OAXACA DE JUÁREZ, OAXACA, </w:t>
      </w:r>
      <w:r w:rsidR="00D716CC">
        <w:rPr>
          <w:rFonts w:ascii="Arial" w:hAnsi="Arial" w:cs="Arial"/>
          <w:b/>
          <w:sz w:val="26"/>
          <w:szCs w:val="26"/>
        </w:rPr>
        <w:t xml:space="preserve">TRECE DE JUNIO </w:t>
      </w:r>
      <w:r w:rsidR="00D716CC" w:rsidRPr="00DB04B5">
        <w:rPr>
          <w:rFonts w:ascii="Arial" w:hAnsi="Arial" w:cs="Arial"/>
          <w:b/>
          <w:sz w:val="26"/>
          <w:szCs w:val="26"/>
        </w:rPr>
        <w:t>DE DOS MIL DIECINUEVE</w:t>
      </w:r>
      <w:r w:rsidR="00D716CC">
        <w:rPr>
          <w:rFonts w:ascii="Arial" w:hAnsi="Arial" w:cs="Arial"/>
          <w:b/>
          <w:sz w:val="26"/>
          <w:szCs w:val="26"/>
        </w:rPr>
        <w:t>.</w:t>
      </w:r>
    </w:p>
    <w:p w:rsidR="00D716CC" w:rsidRDefault="00D716CC" w:rsidP="00D716CC">
      <w:pPr>
        <w:spacing w:after="200" w:line="360" w:lineRule="auto"/>
        <w:ind w:firstLine="708"/>
        <w:jc w:val="both"/>
        <w:rPr>
          <w:rFonts w:ascii="Arial" w:hAnsi="Arial" w:cs="Arial"/>
          <w:b/>
          <w:bCs/>
          <w:sz w:val="26"/>
          <w:szCs w:val="26"/>
        </w:rPr>
      </w:pPr>
      <w:r w:rsidRPr="00DB04B5">
        <w:rPr>
          <w:rFonts w:ascii="Arial" w:hAnsi="Arial" w:cs="Arial"/>
          <w:sz w:val="26"/>
          <w:szCs w:val="26"/>
        </w:rPr>
        <w:t xml:space="preserve">Por recibido el Cuaderno de Revisión </w:t>
      </w:r>
      <w:r>
        <w:rPr>
          <w:rFonts w:ascii="Arial" w:hAnsi="Arial" w:cs="Arial"/>
          <w:b/>
          <w:sz w:val="26"/>
          <w:szCs w:val="26"/>
        </w:rPr>
        <w:t>0016/2019</w:t>
      </w:r>
      <w:r w:rsidRPr="00DB04B5">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la</w:t>
      </w:r>
      <w:r w:rsidRPr="00DB04B5">
        <w:rPr>
          <w:rFonts w:ascii="Arial" w:hAnsi="Arial" w:cs="Arial"/>
          <w:sz w:val="26"/>
          <w:szCs w:val="26"/>
        </w:rPr>
        <w:t xml:space="preserve"> </w:t>
      </w:r>
      <w:r>
        <w:rPr>
          <w:rFonts w:ascii="Arial" w:hAnsi="Arial" w:cs="Arial"/>
          <w:b/>
          <w:sz w:val="26"/>
          <w:szCs w:val="26"/>
        </w:rPr>
        <w:t>DIRECTORA DE LO CONTENCIOSO DE LA PROCURADURÍA FISCAL DEPENDIENTE DE LA SECRETARÍA DE FINANZAS DEL PODER EJECUTIVO DEL ESTADO DE OAXACA</w:t>
      </w:r>
      <w:r w:rsidRPr="00DB04B5">
        <w:rPr>
          <w:rFonts w:ascii="Arial" w:hAnsi="Arial" w:cs="Arial"/>
          <w:b/>
          <w:sz w:val="26"/>
          <w:szCs w:val="26"/>
        </w:rPr>
        <w:t xml:space="preserve">, </w:t>
      </w:r>
      <w:r w:rsidRPr="00DB04B5">
        <w:rPr>
          <w:rFonts w:ascii="Arial" w:hAnsi="Arial" w:cs="Arial"/>
          <w:sz w:val="26"/>
          <w:szCs w:val="26"/>
        </w:rPr>
        <w:t xml:space="preserve">en contra de la </w:t>
      </w:r>
      <w:r w:rsidRPr="00DD4DB8">
        <w:rPr>
          <w:rFonts w:ascii="Arial" w:hAnsi="Arial" w:cs="Arial"/>
          <w:sz w:val="26"/>
          <w:szCs w:val="26"/>
        </w:rPr>
        <w:t>sentencia de</w:t>
      </w:r>
      <w:r w:rsidRPr="00DB04B5">
        <w:rPr>
          <w:rFonts w:ascii="Arial" w:hAnsi="Arial" w:cs="Arial"/>
          <w:b/>
          <w:sz w:val="26"/>
          <w:szCs w:val="26"/>
        </w:rPr>
        <w:t xml:space="preserve"> </w:t>
      </w:r>
      <w:r>
        <w:rPr>
          <w:rFonts w:ascii="Arial" w:hAnsi="Arial" w:cs="Arial"/>
          <w:sz w:val="26"/>
          <w:szCs w:val="26"/>
        </w:rPr>
        <w:t xml:space="preserve">26 veintiséis de octubre </w:t>
      </w:r>
      <w:r w:rsidRPr="00AB6195">
        <w:rPr>
          <w:rFonts w:ascii="Arial" w:hAnsi="Arial" w:cs="Arial"/>
          <w:sz w:val="26"/>
          <w:szCs w:val="26"/>
        </w:rPr>
        <w:t xml:space="preserve">de 2018 dos mil dieciocho, dictada en el expediente </w:t>
      </w:r>
      <w:r w:rsidRPr="006A1DF7">
        <w:rPr>
          <w:rFonts w:ascii="Arial" w:hAnsi="Arial" w:cs="Arial"/>
          <w:b/>
          <w:sz w:val="26"/>
          <w:szCs w:val="26"/>
        </w:rPr>
        <w:t>0047/2018</w:t>
      </w:r>
      <w:r w:rsidRPr="00AB6195">
        <w:rPr>
          <w:rFonts w:ascii="Arial" w:hAnsi="Arial" w:cs="Arial"/>
          <w:sz w:val="26"/>
          <w:szCs w:val="26"/>
        </w:rPr>
        <w:t xml:space="preserve"> de la </w:t>
      </w:r>
      <w:r>
        <w:rPr>
          <w:rFonts w:ascii="Arial" w:hAnsi="Arial" w:cs="Arial"/>
          <w:sz w:val="26"/>
          <w:szCs w:val="26"/>
        </w:rPr>
        <w:t>Primera</w:t>
      </w:r>
      <w:r w:rsidRPr="00AB6195">
        <w:rPr>
          <w:rFonts w:ascii="Arial" w:hAnsi="Arial" w:cs="Arial"/>
          <w:sz w:val="26"/>
          <w:szCs w:val="26"/>
        </w:rPr>
        <w:t xml:space="preserve"> Sala Unitaria </w:t>
      </w:r>
      <w:r w:rsidRPr="00DB04B5">
        <w:rPr>
          <w:rFonts w:ascii="Arial" w:hAnsi="Arial" w:cs="Arial"/>
          <w:sz w:val="26"/>
          <w:szCs w:val="26"/>
        </w:rPr>
        <w:t xml:space="preserve">de Primera Instancia, relativo al juicio de nulidad promovido por </w:t>
      </w:r>
      <w:r w:rsidR="00AB7ED1">
        <w:rPr>
          <w:rFonts w:ascii="Arial" w:hAnsi="Arial" w:cs="Arial"/>
          <w:b/>
          <w:sz w:val="26"/>
          <w:szCs w:val="26"/>
        </w:rPr>
        <w:t>**********</w:t>
      </w:r>
      <w:r>
        <w:rPr>
          <w:rFonts w:ascii="Arial" w:hAnsi="Arial" w:cs="Arial"/>
          <w:b/>
          <w:sz w:val="26"/>
          <w:szCs w:val="26"/>
        </w:rPr>
        <w:t>,</w:t>
      </w:r>
      <w:r w:rsidRPr="00DB04B5">
        <w:rPr>
          <w:rFonts w:ascii="Arial" w:hAnsi="Arial" w:cs="Arial"/>
          <w:b/>
          <w:sz w:val="26"/>
          <w:szCs w:val="26"/>
        </w:rPr>
        <w:t xml:space="preserve"> </w:t>
      </w:r>
      <w:r w:rsidRPr="00DB04B5">
        <w:rPr>
          <w:rFonts w:ascii="Arial" w:hAnsi="Arial" w:cs="Arial"/>
          <w:sz w:val="26"/>
          <w:szCs w:val="26"/>
        </w:rPr>
        <w:t>en contra de</w:t>
      </w:r>
      <w:r>
        <w:rPr>
          <w:rFonts w:ascii="Arial" w:hAnsi="Arial" w:cs="Arial"/>
          <w:sz w:val="26"/>
          <w:szCs w:val="26"/>
        </w:rPr>
        <w:t xml:space="preserve"> la </w:t>
      </w:r>
      <w:r>
        <w:rPr>
          <w:rFonts w:ascii="Arial" w:hAnsi="Arial" w:cs="Arial"/>
          <w:b/>
          <w:sz w:val="26"/>
          <w:szCs w:val="26"/>
        </w:rPr>
        <w:t>DIRECTORA DE INGRESOS Y RECAUDACIÓN DE LA SUBSECRETARÍA DE INGRESOS DE LA SECRETARÍA DE FINANZAS DEL PODER EJECUTIVO DEL ESTADO DE OAXACA,</w:t>
      </w:r>
      <w:r w:rsidRPr="00DB04B5">
        <w:rPr>
          <w:rFonts w:ascii="Arial" w:hAnsi="Arial" w:cs="Arial"/>
          <w:b/>
          <w:sz w:val="26"/>
          <w:szCs w:val="26"/>
        </w:rPr>
        <w:t xml:space="preserve"> </w:t>
      </w:r>
      <w:r w:rsidRPr="00DB04B5">
        <w:rPr>
          <w:rFonts w:ascii="Arial" w:eastAsia="Calibri" w:hAnsi="Arial" w:cs="Arial"/>
          <w:b/>
          <w:sz w:val="26"/>
          <w:szCs w:val="26"/>
        </w:rPr>
        <w:t xml:space="preserve"> </w:t>
      </w:r>
      <w:r w:rsidRPr="00DB04B5">
        <w:rPr>
          <w:rFonts w:ascii="Arial" w:eastAsia="Calibri" w:hAnsi="Arial" w:cs="Arial"/>
          <w:sz w:val="26"/>
          <w:szCs w:val="26"/>
        </w:rPr>
        <w:t>por lo que con fundamento en los artículos 2</w:t>
      </w:r>
      <w:r>
        <w:rPr>
          <w:rFonts w:ascii="Arial" w:eastAsia="Calibri" w:hAnsi="Arial" w:cs="Arial"/>
          <w:sz w:val="26"/>
          <w:szCs w:val="26"/>
        </w:rPr>
        <w:t>3</w:t>
      </w:r>
      <w:r w:rsidRPr="00DB04B5">
        <w:rPr>
          <w:rFonts w:ascii="Arial" w:eastAsia="Calibri" w:hAnsi="Arial" w:cs="Arial"/>
          <w:sz w:val="26"/>
          <w:szCs w:val="26"/>
        </w:rPr>
        <w:t>7 y 2</w:t>
      </w:r>
      <w:r>
        <w:rPr>
          <w:rFonts w:ascii="Arial" w:eastAsia="Calibri" w:hAnsi="Arial" w:cs="Arial"/>
          <w:sz w:val="26"/>
          <w:szCs w:val="26"/>
        </w:rPr>
        <w:t>3</w:t>
      </w:r>
      <w:r w:rsidRPr="00DB04B5">
        <w:rPr>
          <w:rFonts w:ascii="Arial" w:eastAsia="Calibri" w:hAnsi="Arial" w:cs="Arial"/>
          <w:sz w:val="26"/>
          <w:szCs w:val="26"/>
        </w:rPr>
        <w:t xml:space="preserve">8 de la Ley de </w:t>
      </w:r>
      <w:r>
        <w:rPr>
          <w:rFonts w:ascii="Arial" w:eastAsia="Calibri" w:hAnsi="Arial" w:cs="Arial"/>
          <w:sz w:val="26"/>
          <w:szCs w:val="26"/>
        </w:rPr>
        <w:t xml:space="preserve">Procedimiento y </w:t>
      </w:r>
      <w:r w:rsidRPr="00DB04B5">
        <w:rPr>
          <w:rFonts w:ascii="Arial" w:eastAsia="Calibri" w:hAnsi="Arial" w:cs="Arial"/>
          <w:sz w:val="26"/>
          <w:szCs w:val="26"/>
        </w:rPr>
        <w:t xml:space="preserve">Justicia Administrativa para el Estado de Oaxaca, </w:t>
      </w:r>
      <w:r w:rsidRPr="00DB04B5">
        <w:rPr>
          <w:rFonts w:ascii="Arial" w:hAnsi="Arial" w:cs="Arial"/>
          <w:sz w:val="26"/>
          <w:szCs w:val="26"/>
        </w:rPr>
        <w:t>se admite. En consecuencia, se procede a dictar resolución en los siguientes términos:</w:t>
      </w:r>
    </w:p>
    <w:p w:rsidR="00D716CC" w:rsidRDefault="00D716CC" w:rsidP="00D716CC">
      <w:pPr>
        <w:spacing w:after="200" w:line="360" w:lineRule="auto"/>
        <w:ind w:firstLine="708"/>
        <w:jc w:val="center"/>
        <w:rPr>
          <w:rFonts w:ascii="Arial" w:hAnsi="Arial" w:cs="Arial"/>
          <w:b/>
          <w:bCs/>
          <w:sz w:val="26"/>
          <w:szCs w:val="26"/>
        </w:rPr>
      </w:pPr>
      <w:r w:rsidRPr="00DB04B5">
        <w:rPr>
          <w:rFonts w:ascii="Arial" w:hAnsi="Arial" w:cs="Arial"/>
          <w:b/>
          <w:bCs/>
          <w:sz w:val="26"/>
          <w:szCs w:val="26"/>
        </w:rPr>
        <w:t>R E S U L T A N D O:</w:t>
      </w:r>
    </w:p>
    <w:p w:rsidR="00D716CC" w:rsidRDefault="00D716CC" w:rsidP="00D716CC">
      <w:pPr>
        <w:spacing w:line="360" w:lineRule="auto"/>
        <w:ind w:firstLine="708"/>
        <w:jc w:val="both"/>
        <w:rPr>
          <w:rFonts w:ascii="Arial" w:hAnsi="Arial" w:cs="Arial"/>
          <w:sz w:val="26"/>
          <w:szCs w:val="26"/>
        </w:rPr>
      </w:pPr>
      <w:r w:rsidRPr="00DB04B5">
        <w:rPr>
          <w:rFonts w:ascii="Arial" w:hAnsi="Arial" w:cs="Arial"/>
          <w:b/>
          <w:bCs/>
          <w:sz w:val="26"/>
          <w:szCs w:val="26"/>
        </w:rPr>
        <w:t xml:space="preserve">PRIMERO. </w:t>
      </w:r>
      <w:r w:rsidRPr="00DB04B5">
        <w:rPr>
          <w:rFonts w:ascii="Arial" w:hAnsi="Arial" w:cs="Arial"/>
          <w:sz w:val="26"/>
          <w:szCs w:val="26"/>
        </w:rPr>
        <w:t xml:space="preserve">Inconforme con la sentencia de </w:t>
      </w:r>
      <w:r>
        <w:rPr>
          <w:rFonts w:ascii="Arial" w:hAnsi="Arial" w:cs="Arial"/>
          <w:sz w:val="26"/>
          <w:szCs w:val="26"/>
        </w:rPr>
        <w:t xml:space="preserve">26 veintiséis de octubre </w:t>
      </w:r>
      <w:r w:rsidRPr="00AB6195">
        <w:rPr>
          <w:rFonts w:ascii="Arial" w:hAnsi="Arial" w:cs="Arial"/>
          <w:sz w:val="26"/>
          <w:szCs w:val="26"/>
        </w:rPr>
        <w:t>de 2018 dos mil dieciocho</w:t>
      </w:r>
      <w:r w:rsidRPr="00DB04B5">
        <w:rPr>
          <w:rFonts w:ascii="Arial" w:hAnsi="Arial" w:cs="Arial"/>
          <w:sz w:val="26"/>
          <w:szCs w:val="26"/>
        </w:rPr>
        <w:t>,</w:t>
      </w:r>
      <w:r>
        <w:rPr>
          <w:rFonts w:ascii="Arial" w:hAnsi="Arial" w:cs="Arial"/>
          <w:sz w:val="26"/>
          <w:szCs w:val="26"/>
        </w:rPr>
        <w:t xml:space="preserve"> dictada por la Primera</w:t>
      </w:r>
      <w:r w:rsidRPr="00DB04B5">
        <w:rPr>
          <w:rFonts w:ascii="Arial" w:hAnsi="Arial" w:cs="Arial"/>
          <w:sz w:val="26"/>
          <w:szCs w:val="26"/>
        </w:rPr>
        <w:t xml:space="preserve"> Sala</w:t>
      </w:r>
      <w:r>
        <w:rPr>
          <w:rFonts w:ascii="Arial" w:hAnsi="Arial" w:cs="Arial"/>
          <w:sz w:val="26"/>
          <w:szCs w:val="26"/>
        </w:rPr>
        <w:t xml:space="preserve"> Unitaria de Primera Instancia, la </w:t>
      </w:r>
      <w:r>
        <w:rPr>
          <w:rFonts w:ascii="Arial" w:hAnsi="Arial" w:cs="Arial"/>
          <w:b/>
          <w:sz w:val="26"/>
          <w:szCs w:val="26"/>
        </w:rPr>
        <w:t>DIRECTORA DE LO CONTENCIOSO DE LA PROCURADURÍA FISCAL DEPENDIENTE DE LA SECRETARÍA DE FINANZAS DEL PODER EJECUTIVO DEL ESTADO DE OAXACA</w:t>
      </w:r>
      <w:r w:rsidRPr="00DB04B5">
        <w:rPr>
          <w:rFonts w:ascii="Arial" w:hAnsi="Arial" w:cs="Arial"/>
          <w:b/>
          <w:sz w:val="26"/>
          <w:szCs w:val="26"/>
        </w:rPr>
        <w:t>,</w:t>
      </w:r>
      <w:r w:rsidRPr="00DB04B5">
        <w:rPr>
          <w:rFonts w:ascii="Arial" w:hAnsi="Arial" w:cs="Arial"/>
          <w:sz w:val="26"/>
          <w:szCs w:val="26"/>
        </w:rPr>
        <w:t xml:space="preserve"> interpuso en su contra recurso de </w:t>
      </w:r>
      <w:r>
        <w:rPr>
          <w:rFonts w:ascii="Arial" w:hAnsi="Arial" w:cs="Arial"/>
          <w:sz w:val="26"/>
          <w:szCs w:val="26"/>
        </w:rPr>
        <w:t>revisión.</w:t>
      </w:r>
    </w:p>
    <w:p w:rsidR="00D716CC" w:rsidRPr="00DB04B5" w:rsidRDefault="00D716CC" w:rsidP="00D716CC">
      <w:pPr>
        <w:spacing w:line="360" w:lineRule="auto"/>
        <w:ind w:firstLine="708"/>
        <w:jc w:val="both"/>
        <w:rPr>
          <w:rFonts w:ascii="Arial" w:hAnsi="Arial" w:cs="Arial"/>
          <w:sz w:val="26"/>
          <w:szCs w:val="26"/>
        </w:rPr>
      </w:pPr>
      <w:r w:rsidRPr="00DB04B5">
        <w:rPr>
          <w:rFonts w:ascii="Arial" w:hAnsi="Arial" w:cs="Arial"/>
          <w:b/>
          <w:bCs/>
          <w:sz w:val="26"/>
          <w:szCs w:val="26"/>
        </w:rPr>
        <w:lastRenderedPageBreak/>
        <w:t xml:space="preserve">SEGUNDO. </w:t>
      </w:r>
      <w:r w:rsidRPr="00DB04B5">
        <w:rPr>
          <w:rFonts w:ascii="Arial" w:hAnsi="Arial" w:cs="Arial"/>
          <w:sz w:val="26"/>
          <w:szCs w:val="26"/>
        </w:rPr>
        <w:t>La parte conducente de la sentencia recurrida es del tenor literal siguiente</w:t>
      </w:r>
      <w:r>
        <w:rPr>
          <w:rFonts w:ascii="Arial" w:hAnsi="Arial" w:cs="Arial"/>
          <w:sz w:val="26"/>
          <w:szCs w:val="26"/>
        </w:rPr>
        <w:t>:</w:t>
      </w:r>
    </w:p>
    <w:p w:rsidR="00D716CC" w:rsidRDefault="00D716CC" w:rsidP="00D716CC">
      <w:pPr>
        <w:spacing w:line="360" w:lineRule="auto"/>
        <w:ind w:left="1134" w:right="900" w:firstLine="567"/>
        <w:jc w:val="both"/>
        <w:rPr>
          <w:rFonts w:ascii="Arial" w:eastAsia="Calibri" w:hAnsi="Arial" w:cs="Arial"/>
          <w:bCs/>
          <w:i/>
          <w:color w:val="000000" w:themeColor="text1"/>
        </w:rPr>
      </w:pPr>
      <w:r w:rsidRPr="00544EE8">
        <w:rPr>
          <w:rFonts w:ascii="Arial" w:eastAsia="Calibri" w:hAnsi="Arial" w:cs="Arial"/>
          <w:b/>
          <w:bCs/>
          <w:i/>
          <w:color w:val="000000" w:themeColor="text1"/>
        </w:rPr>
        <w:t xml:space="preserve">“PRIMERO.- </w:t>
      </w:r>
      <w:r>
        <w:rPr>
          <w:rFonts w:ascii="Arial" w:eastAsia="Calibri" w:hAnsi="Arial" w:cs="Arial"/>
          <w:bCs/>
          <w:i/>
          <w:color w:val="000000" w:themeColor="text1"/>
        </w:rPr>
        <w:t xml:space="preserve">Esta Primera Sala de Primera Instancia del Tribunal de Justicia Administrativa del Estado de Oaxaca, es competente para conocer y resolver de la presente causa.- - - - </w:t>
      </w:r>
    </w:p>
    <w:p w:rsidR="00D716CC" w:rsidRDefault="00D716CC" w:rsidP="00D716CC">
      <w:pPr>
        <w:spacing w:line="360" w:lineRule="auto"/>
        <w:ind w:left="1134" w:right="900" w:firstLine="567"/>
        <w:jc w:val="both"/>
        <w:rPr>
          <w:rFonts w:ascii="Arial" w:eastAsia="Calibri" w:hAnsi="Arial" w:cs="Arial"/>
          <w:bCs/>
          <w:i/>
          <w:color w:val="000000" w:themeColor="text1"/>
        </w:rPr>
      </w:pPr>
      <w:r>
        <w:rPr>
          <w:rFonts w:ascii="Arial" w:eastAsia="Calibri" w:hAnsi="Arial" w:cs="Arial"/>
          <w:b/>
          <w:bCs/>
          <w:i/>
          <w:color w:val="000000" w:themeColor="text1"/>
        </w:rPr>
        <w:t xml:space="preserve">SEGUNDO. </w:t>
      </w:r>
      <w:r>
        <w:rPr>
          <w:rFonts w:ascii="Arial" w:eastAsia="Calibri" w:hAnsi="Arial" w:cs="Arial"/>
          <w:bCs/>
          <w:i/>
          <w:color w:val="000000" w:themeColor="text1"/>
        </w:rPr>
        <w:t>La personalidad de las partes quedó acreditada en autos en el considerando SEGUNDO de la presente resolución.</w:t>
      </w:r>
    </w:p>
    <w:p w:rsidR="00D716CC" w:rsidRDefault="00D716CC" w:rsidP="00D716CC">
      <w:pPr>
        <w:spacing w:line="360" w:lineRule="auto"/>
        <w:ind w:left="1134" w:right="900" w:firstLine="567"/>
        <w:jc w:val="both"/>
        <w:rPr>
          <w:rFonts w:ascii="Arial" w:eastAsia="Calibri" w:hAnsi="Arial" w:cs="Arial"/>
          <w:bCs/>
          <w:i/>
          <w:color w:val="000000" w:themeColor="text1"/>
        </w:rPr>
      </w:pPr>
      <w:r>
        <w:rPr>
          <w:rFonts w:ascii="Arial" w:eastAsia="Calibri" w:hAnsi="Arial" w:cs="Arial"/>
          <w:b/>
          <w:bCs/>
          <w:i/>
          <w:color w:val="000000" w:themeColor="text1"/>
        </w:rPr>
        <w:t xml:space="preserve">TERCERO. </w:t>
      </w:r>
      <w:r>
        <w:rPr>
          <w:rFonts w:ascii="Arial" w:eastAsia="Calibri" w:hAnsi="Arial" w:cs="Arial"/>
          <w:bCs/>
          <w:i/>
          <w:color w:val="000000" w:themeColor="text1"/>
        </w:rPr>
        <w:t xml:space="preserve">No se actualizó ninguna de las causales contenidas en los artículos 161 y 162 de la ley de Procedimiento y Justicia Administrativa para el Estado de Oaxaca, por lo que </w:t>
      </w:r>
      <w:r>
        <w:rPr>
          <w:rFonts w:ascii="Arial" w:eastAsia="Calibri" w:hAnsi="Arial" w:cs="Arial"/>
          <w:bCs/>
          <w:i/>
          <w:color w:val="000000" w:themeColor="text1"/>
          <w:u w:val="single"/>
        </w:rPr>
        <w:t>no se sobresee el presente juicio.</w:t>
      </w:r>
      <w:r>
        <w:rPr>
          <w:rFonts w:ascii="Arial" w:eastAsia="Calibri" w:hAnsi="Arial" w:cs="Arial"/>
          <w:bCs/>
          <w:i/>
          <w:color w:val="000000" w:themeColor="text1"/>
        </w:rPr>
        <w:t xml:space="preserve"> </w:t>
      </w:r>
    </w:p>
    <w:p w:rsidR="00D716CC" w:rsidRDefault="00D716CC" w:rsidP="00D716CC">
      <w:pPr>
        <w:spacing w:line="360" w:lineRule="auto"/>
        <w:ind w:left="1134" w:right="900" w:firstLine="567"/>
        <w:jc w:val="both"/>
        <w:rPr>
          <w:rFonts w:ascii="Arial" w:eastAsia="Calibri" w:hAnsi="Arial" w:cs="Arial"/>
          <w:bCs/>
          <w:i/>
          <w:color w:val="000000" w:themeColor="text1"/>
        </w:rPr>
      </w:pPr>
      <w:r>
        <w:rPr>
          <w:rFonts w:ascii="Arial" w:eastAsia="Calibri" w:hAnsi="Arial" w:cs="Arial"/>
          <w:b/>
          <w:bCs/>
          <w:i/>
          <w:color w:val="000000" w:themeColor="text1"/>
        </w:rPr>
        <w:t xml:space="preserve">CUARTO. </w:t>
      </w:r>
      <w:r>
        <w:rPr>
          <w:rFonts w:ascii="Arial" w:eastAsia="Calibri" w:hAnsi="Arial" w:cs="Arial"/>
          <w:bCs/>
          <w:i/>
          <w:color w:val="000000" w:themeColor="text1"/>
        </w:rPr>
        <w:t xml:space="preserve">Se declara </w:t>
      </w:r>
      <w:r>
        <w:rPr>
          <w:rFonts w:ascii="Arial" w:eastAsia="Calibri" w:hAnsi="Arial" w:cs="Arial"/>
          <w:b/>
          <w:bCs/>
          <w:i/>
          <w:color w:val="000000" w:themeColor="text1"/>
        </w:rPr>
        <w:t xml:space="preserve">LA NULIDAD LISA Y LLANA </w:t>
      </w:r>
      <w:r>
        <w:rPr>
          <w:rFonts w:ascii="Arial" w:eastAsia="Calibri" w:hAnsi="Arial" w:cs="Arial"/>
          <w:bCs/>
          <w:i/>
          <w:color w:val="000000" w:themeColor="text1"/>
        </w:rPr>
        <w:t xml:space="preserve">de la multa por infracción identificada con el número de control 01MI44ER170144 de fecha ocho de agosto de dos mil diecisiete, emitida por la emitida por la (sic) licenciada ELIZABETH MARTÍNEZ ARZOLA, Directora de Ingresos y Recaudación de la Subsecretaría de Ingresos de la Secretaría de Finanzas del Poder Ejecutivo del Estado de Oaxaca, mediante la cual se impone una sanción económica en cantidad de 50 UMA ($3.775.00 tres mil setecientos setenta y cinco pesos 00/100 m.n.) debiendo dar de baja dicha multa del sistema digital que para tal efecto lleve esa Secretaría, por los motivos y fundamentos legales consignados en el considerando CUARTO de esta sentencia. </w:t>
      </w:r>
    </w:p>
    <w:p w:rsidR="00D716CC" w:rsidRPr="00544EE8" w:rsidRDefault="00D716CC" w:rsidP="00D716CC">
      <w:pPr>
        <w:spacing w:after="200" w:line="360" w:lineRule="auto"/>
        <w:ind w:left="1134" w:right="900" w:firstLine="567"/>
        <w:jc w:val="both"/>
        <w:rPr>
          <w:rFonts w:ascii="Arial" w:eastAsia="Calibri" w:hAnsi="Arial" w:cs="Arial"/>
          <w:b/>
          <w:bCs/>
          <w:i/>
          <w:color w:val="000000" w:themeColor="text1"/>
        </w:rPr>
      </w:pPr>
      <w:r>
        <w:rPr>
          <w:rFonts w:ascii="Arial" w:eastAsia="Calibri" w:hAnsi="Arial" w:cs="Arial"/>
          <w:b/>
          <w:bCs/>
          <w:i/>
          <w:color w:val="000000" w:themeColor="text1"/>
        </w:rPr>
        <w:t xml:space="preserve">QUINTO. </w:t>
      </w:r>
      <w:r>
        <w:rPr>
          <w:rFonts w:ascii="Arial" w:eastAsia="Calibri" w:hAnsi="Arial" w:cs="Arial"/>
          <w:bCs/>
          <w:i/>
          <w:color w:val="000000" w:themeColor="text1"/>
        </w:rPr>
        <w:t xml:space="preserve">Conforme a lo dispuesto en los artículos 172 y 173 de la Ley de Procedimiento y Justicia Administrativa para el Estado de Oaxaca, </w:t>
      </w:r>
      <w:r>
        <w:rPr>
          <w:rFonts w:ascii="Arial" w:eastAsia="Calibri" w:hAnsi="Arial" w:cs="Arial"/>
          <w:b/>
          <w:bCs/>
          <w:i/>
          <w:color w:val="000000" w:themeColor="text1"/>
        </w:rPr>
        <w:t xml:space="preserve">NOTIFÍQUESE </w:t>
      </w:r>
      <w:r>
        <w:rPr>
          <w:rFonts w:ascii="Arial" w:eastAsia="Calibri" w:hAnsi="Arial" w:cs="Arial"/>
          <w:bCs/>
          <w:i/>
          <w:color w:val="000000" w:themeColor="text1"/>
        </w:rPr>
        <w:t xml:space="preserve">personalmente a la parte actora por oficio a la autoridad demandada y </w:t>
      </w:r>
      <w:r>
        <w:rPr>
          <w:rFonts w:ascii="Arial" w:eastAsia="Calibri" w:hAnsi="Arial" w:cs="Arial"/>
          <w:b/>
          <w:bCs/>
          <w:i/>
          <w:color w:val="000000" w:themeColor="text1"/>
        </w:rPr>
        <w:t>CÚMPLASE.”</w:t>
      </w:r>
      <w:r>
        <w:rPr>
          <w:rFonts w:ascii="Arial" w:eastAsia="Calibri" w:hAnsi="Arial" w:cs="Arial"/>
          <w:bCs/>
          <w:i/>
          <w:color w:val="000000" w:themeColor="text1"/>
        </w:rPr>
        <w:t xml:space="preserve"> </w:t>
      </w:r>
    </w:p>
    <w:p w:rsidR="00D716CC" w:rsidRDefault="00D716CC" w:rsidP="00D716CC">
      <w:pPr>
        <w:spacing w:after="200" w:line="360" w:lineRule="auto"/>
        <w:ind w:right="49"/>
        <w:jc w:val="center"/>
        <w:rPr>
          <w:rFonts w:ascii="Arial" w:eastAsia="Calibri" w:hAnsi="Arial" w:cs="Arial"/>
          <w:b/>
          <w:bCs/>
          <w:sz w:val="26"/>
          <w:szCs w:val="26"/>
        </w:rPr>
      </w:pPr>
      <w:r w:rsidRPr="00E66317">
        <w:rPr>
          <w:rFonts w:ascii="Arial" w:eastAsia="Calibri" w:hAnsi="Arial" w:cs="Arial"/>
          <w:b/>
          <w:bCs/>
          <w:sz w:val="26"/>
          <w:szCs w:val="26"/>
        </w:rPr>
        <w:t>C O N S I D E R A N D O</w:t>
      </w:r>
      <w:r>
        <w:rPr>
          <w:rFonts w:ascii="Arial" w:eastAsia="Calibri" w:hAnsi="Arial" w:cs="Arial"/>
          <w:b/>
          <w:bCs/>
          <w:sz w:val="26"/>
          <w:szCs w:val="26"/>
        </w:rPr>
        <w:t>:</w:t>
      </w:r>
    </w:p>
    <w:p w:rsidR="00D716CC" w:rsidRDefault="00D716CC" w:rsidP="00D716CC">
      <w:pPr>
        <w:spacing w:after="200" w:line="360" w:lineRule="auto"/>
        <w:ind w:right="49" w:firstLine="708"/>
        <w:jc w:val="both"/>
        <w:rPr>
          <w:rFonts w:ascii="Arial" w:hAnsi="Arial" w:cs="Arial"/>
          <w:bCs/>
          <w:iCs/>
          <w:sz w:val="26"/>
          <w:szCs w:val="26"/>
        </w:rPr>
      </w:pPr>
      <w:r w:rsidRPr="00DB04B5">
        <w:rPr>
          <w:rFonts w:ascii="Arial" w:hAnsi="Arial" w:cs="Arial"/>
          <w:b/>
          <w:bCs/>
          <w:iCs/>
          <w:sz w:val="26"/>
          <w:szCs w:val="26"/>
          <w:lang w:eastAsia="es-ES"/>
        </w:rPr>
        <w:t>PRIMERO</w:t>
      </w:r>
      <w:r>
        <w:rPr>
          <w:rFonts w:ascii="Arial" w:hAnsi="Arial" w:cs="Arial"/>
          <w:b/>
          <w:bCs/>
          <w:iCs/>
          <w:sz w:val="26"/>
          <w:szCs w:val="26"/>
          <w:lang w:eastAsia="es-ES"/>
        </w:rPr>
        <w:t xml:space="preserve">.- </w:t>
      </w:r>
      <w:r w:rsidRPr="009D1B07">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w:t>
      </w:r>
      <w:r w:rsidRPr="00A40958">
        <w:rPr>
          <w:rFonts w:ascii="Arial" w:eastAsia="Calibri" w:hAnsi="Arial" w:cs="Arial"/>
          <w:sz w:val="26"/>
          <w:szCs w:val="26"/>
        </w:rPr>
        <w:t>,</w:t>
      </w:r>
      <w:r w:rsidRPr="00A40958">
        <w:rPr>
          <w:rFonts w:ascii="Arial" w:hAnsi="Arial" w:cs="Arial"/>
          <w:bCs/>
          <w:iCs/>
          <w:sz w:val="26"/>
          <w:szCs w:val="26"/>
        </w:rPr>
        <w:t xml:space="preserve"> </w:t>
      </w:r>
      <w:r>
        <w:rPr>
          <w:rFonts w:ascii="Arial" w:hAnsi="Arial" w:cs="Arial"/>
          <w:bCs/>
          <w:iCs/>
          <w:sz w:val="26"/>
          <w:szCs w:val="26"/>
        </w:rPr>
        <w:t xml:space="preserve">dado que </w:t>
      </w:r>
      <w:r w:rsidRPr="00DB04B5">
        <w:rPr>
          <w:rFonts w:ascii="Arial" w:hAnsi="Arial" w:cs="Arial"/>
          <w:bCs/>
          <w:iCs/>
          <w:sz w:val="26"/>
          <w:szCs w:val="26"/>
        </w:rPr>
        <w:t xml:space="preserve">se trata de un Recurso de Revisión </w:t>
      </w:r>
      <w:r>
        <w:rPr>
          <w:rFonts w:ascii="Arial" w:hAnsi="Arial" w:cs="Arial"/>
          <w:bCs/>
          <w:iCs/>
          <w:sz w:val="26"/>
          <w:szCs w:val="26"/>
        </w:rPr>
        <w:t xml:space="preserve">interpuesto </w:t>
      </w:r>
      <w:r w:rsidRPr="00DB04B5">
        <w:rPr>
          <w:rFonts w:ascii="Arial" w:hAnsi="Arial" w:cs="Arial"/>
          <w:bCs/>
          <w:iCs/>
          <w:sz w:val="26"/>
          <w:szCs w:val="26"/>
        </w:rPr>
        <w:t xml:space="preserve">en contra de la sentencia de </w:t>
      </w:r>
      <w:r>
        <w:rPr>
          <w:rFonts w:ascii="Arial" w:hAnsi="Arial" w:cs="Arial"/>
          <w:bCs/>
          <w:iCs/>
          <w:sz w:val="26"/>
          <w:szCs w:val="26"/>
        </w:rPr>
        <w:t xml:space="preserve">26 veintiséis de octubre </w:t>
      </w:r>
      <w:r w:rsidRPr="00DB04B5">
        <w:rPr>
          <w:rFonts w:ascii="Arial" w:hAnsi="Arial" w:cs="Arial"/>
          <w:bCs/>
          <w:iCs/>
          <w:sz w:val="26"/>
          <w:szCs w:val="26"/>
        </w:rPr>
        <w:t xml:space="preserve">de </w:t>
      </w:r>
      <w:r>
        <w:rPr>
          <w:rFonts w:ascii="Arial" w:hAnsi="Arial" w:cs="Arial"/>
          <w:bCs/>
          <w:iCs/>
          <w:sz w:val="26"/>
          <w:szCs w:val="26"/>
        </w:rPr>
        <w:t xml:space="preserve">2018 </w:t>
      </w:r>
      <w:r w:rsidRPr="00DB04B5">
        <w:rPr>
          <w:rFonts w:ascii="Arial" w:hAnsi="Arial" w:cs="Arial"/>
          <w:bCs/>
          <w:iCs/>
          <w:sz w:val="26"/>
          <w:szCs w:val="26"/>
        </w:rPr>
        <w:t xml:space="preserve">dos mil dieciocho, en el expediente </w:t>
      </w:r>
      <w:r>
        <w:rPr>
          <w:rFonts w:ascii="Arial" w:hAnsi="Arial" w:cs="Arial"/>
          <w:b/>
          <w:bCs/>
          <w:iCs/>
          <w:sz w:val="26"/>
          <w:szCs w:val="26"/>
        </w:rPr>
        <w:t>0047/2018</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Pr>
          <w:rFonts w:ascii="Arial" w:hAnsi="Arial" w:cs="Arial"/>
          <w:bCs/>
          <w:iCs/>
          <w:sz w:val="26"/>
          <w:szCs w:val="26"/>
        </w:rPr>
        <w:t xml:space="preserve">Primera </w:t>
      </w:r>
      <w:r w:rsidRPr="00DB04B5">
        <w:rPr>
          <w:rFonts w:ascii="Arial" w:hAnsi="Arial" w:cs="Arial"/>
          <w:bCs/>
          <w:iCs/>
          <w:sz w:val="26"/>
          <w:szCs w:val="26"/>
        </w:rPr>
        <w:t xml:space="preserve"> Sala Unitaria de Primera Instancia</w:t>
      </w:r>
      <w:r>
        <w:rPr>
          <w:rFonts w:ascii="Arial" w:hAnsi="Arial" w:cs="Arial"/>
          <w:bCs/>
          <w:iCs/>
          <w:sz w:val="26"/>
          <w:szCs w:val="26"/>
        </w:rPr>
        <w:t>.</w:t>
      </w:r>
    </w:p>
    <w:p w:rsidR="00D716CC" w:rsidRDefault="00D716CC" w:rsidP="00D716CC">
      <w:pPr>
        <w:spacing w:after="120" w:line="360" w:lineRule="auto"/>
        <w:ind w:right="49" w:firstLine="708"/>
        <w:jc w:val="both"/>
        <w:rPr>
          <w:rFonts w:ascii="Arial" w:hAnsi="Arial" w:cs="Arial"/>
        </w:rPr>
      </w:pPr>
      <w:r w:rsidRPr="00DB04B5">
        <w:rPr>
          <w:rFonts w:ascii="Arial" w:hAnsi="Arial" w:cs="Arial"/>
          <w:b/>
          <w:bCs/>
          <w:sz w:val="26"/>
          <w:szCs w:val="26"/>
        </w:rPr>
        <w:lastRenderedPageBreak/>
        <w:t>SEGUNDO.</w:t>
      </w:r>
      <w:r w:rsidRPr="00DB04B5">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bCs/>
          <w:sz w:val="26"/>
          <w:szCs w:val="26"/>
        </w:rPr>
        <w:t>.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p>
    <w:p w:rsidR="00870EE9" w:rsidRDefault="00870EE9" w:rsidP="00D716CC">
      <w:pPr>
        <w:spacing w:after="120" w:line="360" w:lineRule="auto"/>
        <w:ind w:right="49" w:firstLine="708"/>
        <w:jc w:val="both"/>
        <w:rPr>
          <w:rFonts w:ascii="Arial" w:hAnsi="Arial" w:cs="Arial"/>
        </w:rPr>
      </w:pPr>
    </w:p>
    <w:p w:rsidR="00D716CC" w:rsidRDefault="00D716CC" w:rsidP="00D716CC">
      <w:pPr>
        <w:spacing w:after="200" w:line="360" w:lineRule="auto"/>
        <w:ind w:left="1134" w:right="900"/>
        <w:jc w:val="both"/>
        <w:rPr>
          <w:rFonts w:ascii="Arial" w:hAnsi="Arial" w:cs="Arial"/>
          <w:bCs/>
          <w:sz w:val="26"/>
          <w:szCs w:val="26"/>
        </w:rPr>
      </w:pPr>
      <w:r>
        <w:rPr>
          <w:rFonts w:ascii="Arial" w:eastAsia="Times New Roman" w:hAnsi="Arial" w:cs="Arial"/>
          <w:b/>
          <w:bCs/>
          <w:i/>
          <w:lang w:eastAsia="es-MX"/>
        </w:rPr>
        <w:t>“CONCEPTOS DE VIOLACIÓ</w:t>
      </w:r>
      <w:r w:rsidRPr="007F2786">
        <w:rPr>
          <w:rFonts w:ascii="Arial" w:eastAsia="Times New Roman" w:hAnsi="Arial" w:cs="Arial"/>
          <w:b/>
          <w:bCs/>
          <w:i/>
          <w:lang w:eastAsia="es-MX"/>
        </w:rPr>
        <w:t>N. NO ES OBLIGATORIO TRANSCRIBIRLOS EN LA SENTENCIA.</w:t>
      </w:r>
      <w:r>
        <w:rPr>
          <w:rFonts w:ascii="Arial" w:eastAsia="Times New Roman" w:hAnsi="Arial" w:cs="Arial"/>
          <w:b/>
          <w:bCs/>
          <w:i/>
          <w:lang w:eastAsia="es-MX"/>
        </w:rPr>
        <w:t xml:space="preserve"> </w:t>
      </w:r>
      <w:r w:rsidRPr="00045E82">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045E82">
        <w:rPr>
          <w:rFonts w:ascii="Arial" w:eastAsia="Times New Roman" w:hAnsi="Arial" w:cs="Arial"/>
          <w:bCs/>
          <w:i/>
          <w:bdr w:val="none" w:sz="0" w:space="0" w:color="auto" w:frame="1"/>
          <w:lang w:eastAsia="es-MX"/>
        </w:rPr>
        <w:t>es</w:t>
      </w:r>
      <w:r w:rsidRPr="00045E8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045E82">
        <w:rPr>
          <w:rFonts w:ascii="Arial" w:hAnsi="Arial" w:cs="Arial"/>
          <w:i/>
          <w:lang w:eastAsia="es-MX"/>
        </w:rPr>
        <w:t>aler, aun cuando no transcritos</w:t>
      </w:r>
      <w:r w:rsidRPr="00045E82">
        <w:rPr>
          <w:rFonts w:ascii="Arial" w:eastAsia="Times New Roman" w:hAnsi="Arial" w:cs="Arial"/>
          <w:i/>
          <w:lang w:eastAsia="es-MX"/>
        </w:rPr>
        <w:t>(sic)</w:t>
      </w:r>
      <w:r w:rsidRPr="00045E82">
        <w:rPr>
          <w:rFonts w:ascii="Arial" w:hAnsi="Arial" w:cs="Arial"/>
          <w:i/>
          <w:lang w:eastAsia="es-MX"/>
        </w:rPr>
        <w:t>.”</w:t>
      </w:r>
      <w:r w:rsidRPr="00045E82">
        <w:rPr>
          <w:rFonts w:ascii="Arial" w:eastAsia="Times New Roman" w:hAnsi="Arial" w:cs="Arial"/>
          <w:i/>
          <w:lang w:eastAsia="es-MX"/>
        </w:rPr>
        <w:t xml:space="preserve"> </w:t>
      </w:r>
    </w:p>
    <w:p w:rsidR="00D716CC" w:rsidRDefault="00D716CC" w:rsidP="00D716CC">
      <w:pPr>
        <w:spacing w:after="120" w:line="360" w:lineRule="auto"/>
        <w:ind w:right="49" w:firstLine="708"/>
        <w:jc w:val="both"/>
        <w:rPr>
          <w:rFonts w:ascii="Arial" w:hAnsi="Arial" w:cs="Arial"/>
          <w:bCs/>
          <w:sz w:val="26"/>
          <w:szCs w:val="26"/>
        </w:rPr>
      </w:pPr>
      <w:r w:rsidRPr="004731B8">
        <w:rPr>
          <w:rFonts w:ascii="Arial" w:hAnsi="Arial" w:cs="Arial"/>
          <w:b/>
          <w:bCs/>
          <w:sz w:val="26"/>
          <w:szCs w:val="26"/>
        </w:rPr>
        <w:t>TERCERO.</w:t>
      </w:r>
      <w:r w:rsidRPr="006F0031">
        <w:rPr>
          <w:rFonts w:ascii="Arial" w:hAnsi="Arial" w:cs="Arial"/>
          <w:b/>
          <w:bCs/>
          <w:sz w:val="26"/>
          <w:szCs w:val="26"/>
        </w:rPr>
        <w:t xml:space="preserve"> </w:t>
      </w:r>
      <w:r w:rsidRPr="009C5CF3">
        <w:rPr>
          <w:rFonts w:ascii="Arial" w:hAnsi="Arial" w:cs="Arial"/>
          <w:bCs/>
          <w:sz w:val="26"/>
          <w:szCs w:val="26"/>
        </w:rPr>
        <w:t xml:space="preserve">Señala </w:t>
      </w:r>
      <w:r>
        <w:rPr>
          <w:rFonts w:ascii="Arial" w:hAnsi="Arial" w:cs="Arial"/>
          <w:bCs/>
          <w:sz w:val="26"/>
          <w:szCs w:val="26"/>
        </w:rPr>
        <w:t>la autoridad recurrente, que la sentencia de 26 veintiséis de octubre de 2018 dos mil dieciocho, le causa perjuicio a su representada, al contravenir lo dispuesto en el artículo 207 párrafo primero, fracción II de la Ley de Procedimiento y Justicia Administrativa para el Estado de Oaxaca, al no estar debidamente fundadas las consideraciones que tuvo de apoyo la Magistrada de la Primera Sala Unitaria, para emitir la referida sentencia.</w:t>
      </w:r>
    </w:p>
    <w:p w:rsidR="00D716CC" w:rsidRDefault="00D716CC" w:rsidP="00D716CC">
      <w:pPr>
        <w:spacing w:after="120" w:line="360" w:lineRule="auto"/>
        <w:ind w:right="49" w:firstLine="708"/>
        <w:jc w:val="both"/>
        <w:rPr>
          <w:rFonts w:ascii="Arial" w:hAnsi="Arial" w:cs="Arial"/>
          <w:bCs/>
          <w:sz w:val="26"/>
          <w:szCs w:val="26"/>
        </w:rPr>
      </w:pPr>
      <w:r>
        <w:rPr>
          <w:rFonts w:ascii="Arial" w:hAnsi="Arial" w:cs="Arial"/>
          <w:bCs/>
          <w:sz w:val="26"/>
          <w:szCs w:val="26"/>
        </w:rPr>
        <w:t xml:space="preserve">Indica, que en el oficio SF/PF/DC/JR/4012/2018 de fecha 25 veinticinco de junio de 2018, presentado el 27 del citado mes y año, según sello fechador de este Tribunal de Justicia Administrativa del Estado, se anunciaron y exhibieron en el capítulo de pruebas, las documentales consistentes en: </w:t>
      </w:r>
      <w:r>
        <w:rPr>
          <w:rFonts w:ascii="Arial" w:hAnsi="Arial" w:cs="Arial"/>
          <w:bCs/>
          <w:i/>
        </w:rPr>
        <w:t xml:space="preserve">…Copia certificada de cuadernillo de 2 fojas consistente en la Multa por Infracción establecida en el Código Fiscal para el Estado de Oaxaca con número 01MI44ER170144, de 8 de agosto de 2017, y constancia de notificación de fecha 13 de septiembre de 2017, como lo podrá advertir del estudio que realice al acuse..”. </w:t>
      </w:r>
      <w:r w:rsidRPr="00E65BBF">
        <w:rPr>
          <w:rFonts w:ascii="Arial" w:hAnsi="Arial" w:cs="Arial"/>
          <w:bCs/>
          <w:sz w:val="26"/>
          <w:szCs w:val="26"/>
        </w:rPr>
        <w:t>Por lo que mediante</w:t>
      </w:r>
      <w:r>
        <w:rPr>
          <w:rFonts w:ascii="Arial" w:hAnsi="Arial" w:cs="Arial"/>
          <w:bCs/>
          <w:sz w:val="26"/>
          <w:szCs w:val="26"/>
        </w:rPr>
        <w:t xml:space="preserve"> acuerdo de 04 cuatro de julio de 2018 y notificado el 14 catorce de agosto del citado año, se tuvo a la autoridad demandada, dando contestación en tiempo y forma a la demanda instaurada en su contra, admitiéndose las pruebas que se ofrecían.</w:t>
      </w:r>
    </w:p>
    <w:p w:rsidR="00D716CC" w:rsidRDefault="00D716CC" w:rsidP="00D716CC">
      <w:pPr>
        <w:spacing w:after="120" w:line="360" w:lineRule="auto"/>
        <w:ind w:right="49" w:firstLine="708"/>
        <w:jc w:val="both"/>
        <w:rPr>
          <w:rFonts w:ascii="Arial" w:hAnsi="Arial" w:cs="Arial"/>
          <w:bCs/>
          <w:sz w:val="26"/>
          <w:szCs w:val="26"/>
        </w:rPr>
      </w:pPr>
      <w:r>
        <w:rPr>
          <w:rFonts w:ascii="Arial" w:hAnsi="Arial" w:cs="Arial"/>
          <w:bCs/>
          <w:sz w:val="26"/>
          <w:szCs w:val="26"/>
        </w:rPr>
        <w:lastRenderedPageBreak/>
        <w:t>Por tanto, dice que la Sala de Primera Instancia al momento de dictar la resolución recurrida, contravino lo dispuesto por el artículo 207, párrafo primero, fracción II de la Ley de Procedimiento y Justicia Administrativa para el Estado de Oaxaca; en consecuencia, infringió en su perjuicio los principios de congruencia externa e interna, así como el de exhaustividad que debe regir en toda sentencia, toda vez que la sentencia recurrida no tiene una resolución sucinta respecto de las pruebas exhibidas en el escrito de contestación de demanda y admitidas mediante acuerdo de 04 cuatro de julio de 2018 dos mil dieciocho.</w:t>
      </w:r>
    </w:p>
    <w:p w:rsidR="00D716CC" w:rsidRDefault="00D716CC" w:rsidP="00D716CC">
      <w:pPr>
        <w:spacing w:after="120" w:line="360" w:lineRule="auto"/>
        <w:ind w:right="49" w:firstLine="708"/>
        <w:jc w:val="both"/>
        <w:rPr>
          <w:rFonts w:ascii="Arial" w:hAnsi="Arial" w:cs="Arial"/>
          <w:bCs/>
          <w:sz w:val="26"/>
          <w:szCs w:val="26"/>
        </w:rPr>
      </w:pPr>
      <w:r>
        <w:rPr>
          <w:rFonts w:ascii="Arial" w:hAnsi="Arial" w:cs="Arial"/>
          <w:bCs/>
          <w:sz w:val="26"/>
          <w:szCs w:val="26"/>
        </w:rPr>
        <w:t>Refiere que al declararse la nulidad lisa y llana de la multa por infracción identificada con el número de control 01MI44E170144 de fecha ocho de agosto de dos mil diecisiete, se infringió en su perjuicio la disposición invocada, pues no se hizo un análisis a la constancia de notificación de fecha 13 trece de septiembre de 2017 dos mil diecisiete, ni se le otorgó valor alguno por parte de la Magistrada de Primera Instancia, debido a la relación sucinta que guardan los mismos, resolviendo los puntos que fueron objeto del debate.</w:t>
      </w:r>
    </w:p>
    <w:p w:rsidR="00D716CC" w:rsidRDefault="00D716CC" w:rsidP="00D716CC">
      <w:pPr>
        <w:spacing w:after="120" w:line="360" w:lineRule="auto"/>
        <w:ind w:right="49" w:firstLine="708"/>
        <w:jc w:val="both"/>
        <w:rPr>
          <w:rFonts w:ascii="Arial" w:hAnsi="Arial" w:cs="Arial"/>
          <w:bCs/>
          <w:sz w:val="26"/>
          <w:szCs w:val="26"/>
        </w:rPr>
      </w:pPr>
      <w:r>
        <w:rPr>
          <w:rFonts w:ascii="Arial" w:hAnsi="Arial" w:cs="Arial"/>
          <w:sz w:val="26"/>
          <w:szCs w:val="26"/>
        </w:rPr>
        <w:t>Resultan</w:t>
      </w:r>
      <w:r w:rsidRPr="008158F8">
        <w:rPr>
          <w:rFonts w:ascii="Arial" w:hAnsi="Arial" w:cs="Arial"/>
          <w:b/>
          <w:sz w:val="26"/>
          <w:szCs w:val="26"/>
        </w:rPr>
        <w:t xml:space="preserve"> inoperantes </w:t>
      </w:r>
      <w:r w:rsidRPr="00993A3D">
        <w:rPr>
          <w:rFonts w:ascii="Arial" w:hAnsi="Arial" w:cs="Arial"/>
          <w:sz w:val="26"/>
          <w:szCs w:val="26"/>
        </w:rPr>
        <w:t>l</w:t>
      </w:r>
      <w:r>
        <w:rPr>
          <w:rFonts w:ascii="Arial" w:hAnsi="Arial" w:cs="Arial"/>
          <w:sz w:val="26"/>
          <w:szCs w:val="26"/>
        </w:rPr>
        <w:t>a</w:t>
      </w:r>
      <w:r w:rsidRPr="00993A3D">
        <w:rPr>
          <w:rFonts w:ascii="Arial" w:hAnsi="Arial" w:cs="Arial"/>
          <w:sz w:val="26"/>
          <w:szCs w:val="26"/>
        </w:rPr>
        <w:t xml:space="preserve">s </w:t>
      </w:r>
      <w:r>
        <w:rPr>
          <w:rFonts w:ascii="Arial" w:hAnsi="Arial" w:cs="Arial"/>
          <w:sz w:val="26"/>
          <w:szCs w:val="26"/>
        </w:rPr>
        <w:t xml:space="preserve">manifestaciones efectuadas por la autoridad recurrente en su único </w:t>
      </w:r>
      <w:r w:rsidRPr="00993A3D">
        <w:rPr>
          <w:rFonts w:ascii="Arial" w:hAnsi="Arial" w:cs="Arial"/>
          <w:sz w:val="26"/>
          <w:szCs w:val="26"/>
        </w:rPr>
        <w:t>agravio</w:t>
      </w:r>
      <w:r>
        <w:rPr>
          <w:rFonts w:ascii="Arial" w:eastAsia="Calibri" w:hAnsi="Arial" w:cs="Arial"/>
          <w:bCs/>
          <w:sz w:val="26"/>
          <w:szCs w:val="26"/>
        </w:rPr>
        <w:t>,</w:t>
      </w:r>
      <w:r w:rsidRPr="00993A3D">
        <w:rPr>
          <w:rFonts w:ascii="Arial" w:eastAsia="Calibri" w:hAnsi="Arial" w:cs="Arial"/>
          <w:bCs/>
          <w:sz w:val="26"/>
          <w:szCs w:val="26"/>
        </w:rPr>
        <w:t xml:space="preserve"> </w:t>
      </w:r>
      <w:r>
        <w:rPr>
          <w:rFonts w:ascii="Arial" w:eastAsia="Calibri" w:hAnsi="Arial" w:cs="Arial"/>
          <w:bCs/>
          <w:sz w:val="26"/>
          <w:szCs w:val="26"/>
        </w:rPr>
        <w:t xml:space="preserve">porque </w:t>
      </w:r>
      <w:r>
        <w:rPr>
          <w:rFonts w:ascii="Arial" w:hAnsi="Arial" w:cs="Arial"/>
          <w:bCs/>
          <w:sz w:val="26"/>
          <w:szCs w:val="26"/>
        </w:rPr>
        <w:t xml:space="preserve">no aporta una razón lógica y jurídica que logre demostrar la ilegalidad en la actuación de la primera instancia, lo que es necesario para que esta Sala Superior proceda a su análisis al imperar el principio dispositivo, </w:t>
      </w:r>
      <w:r w:rsidRPr="00A40958">
        <w:rPr>
          <w:rFonts w:ascii="Arial" w:hAnsi="Arial" w:cs="Arial"/>
          <w:bCs/>
          <w:sz w:val="26"/>
          <w:szCs w:val="26"/>
        </w:rPr>
        <w:t>según el cual, sólo existe suplencia de la queja únicamente para el caso del administrado</w:t>
      </w:r>
      <w:r>
        <w:rPr>
          <w:rFonts w:ascii="Arial" w:hAnsi="Arial" w:cs="Arial"/>
          <w:bCs/>
          <w:sz w:val="26"/>
          <w:szCs w:val="26"/>
        </w:rPr>
        <w:t>, de acuerdo a los artículos 118 y 176 de la ley que rige el proceso contencioso administrativo. Tiene exacta aplicación la jurisprudencia  IV. 3o. J/12 dictada por el Tercer Tribunal Colegiado del Cuarto Circuito, en la octava época, en septiembre de 1992, misma que está publicada en la Gaceta del Semanario Judicial de la Federación número 57, y que está consultable a página 57, cuyo rubro y texto son del tenor literal siguiente:</w:t>
      </w:r>
    </w:p>
    <w:p w:rsidR="00D716CC" w:rsidRPr="00213A21" w:rsidRDefault="00D716CC" w:rsidP="00D716CC">
      <w:pPr>
        <w:spacing w:after="120" w:line="360" w:lineRule="auto"/>
        <w:ind w:left="1134" w:right="900"/>
        <w:jc w:val="both"/>
        <w:rPr>
          <w:rFonts w:ascii="Arial" w:hAnsi="Arial" w:cs="Arial"/>
          <w:i/>
        </w:rPr>
      </w:pPr>
      <w:r w:rsidRPr="00213A21">
        <w:rPr>
          <w:rFonts w:ascii="Arial" w:hAnsi="Arial" w:cs="Arial"/>
          <w:b/>
          <w:i/>
        </w:rPr>
        <w:t>“AGRAVIOS. DEBEN DE IMPUGNAR LA ILEGALIDAD DEL FALLO RECURRIDO</w:t>
      </w:r>
      <w:r w:rsidRPr="00213A21">
        <w:rPr>
          <w:rFonts w:ascii="Arial" w:hAnsi="Arial" w:cs="Arial"/>
          <w:i/>
        </w:rPr>
        <w:t>.</w:t>
      </w:r>
      <w:r>
        <w:rPr>
          <w:rFonts w:ascii="Arial" w:hAnsi="Arial" w:cs="Arial"/>
          <w:i/>
        </w:rPr>
        <w:t xml:space="preserve"> </w:t>
      </w:r>
      <w:r w:rsidRPr="00213A21">
        <w:rPr>
          <w:rFonts w:ascii="Arial" w:hAnsi="Arial" w:cs="Arial"/>
          <w:i/>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w:t>
      </w:r>
      <w:r w:rsidRPr="00213A21">
        <w:rPr>
          <w:rFonts w:ascii="Arial" w:hAnsi="Arial" w:cs="Arial"/>
          <w:i/>
        </w:rPr>
        <w:lastRenderedPageBreak/>
        <w:t>precisar y exponer los argumentos y razonamientos tendientes a impugnar la ilegalidad del fallo, señalando las violaciones que cometió la autoridad recurrida</w:t>
      </w:r>
      <w:r>
        <w:rPr>
          <w:rFonts w:ascii="Arial" w:hAnsi="Arial" w:cs="Arial"/>
          <w:i/>
        </w:rPr>
        <w:t>.”</w:t>
      </w:r>
    </w:p>
    <w:p w:rsidR="00D716CC" w:rsidRDefault="00D716CC" w:rsidP="00D716CC">
      <w:pPr>
        <w:shd w:val="clear" w:color="auto" w:fill="FFFFFF" w:themeFill="background1"/>
        <w:spacing w:after="120" w:line="360" w:lineRule="auto"/>
        <w:ind w:firstLine="708"/>
        <w:jc w:val="both"/>
        <w:rPr>
          <w:rFonts w:ascii="Arial" w:eastAsia="Calibri" w:hAnsi="Arial" w:cs="Arial"/>
          <w:bCs/>
          <w:sz w:val="26"/>
          <w:szCs w:val="26"/>
        </w:rPr>
      </w:pPr>
      <w:r>
        <w:rPr>
          <w:rFonts w:ascii="Arial" w:eastAsia="Calibri" w:hAnsi="Arial" w:cs="Arial"/>
          <w:bCs/>
          <w:sz w:val="26"/>
          <w:szCs w:val="26"/>
        </w:rPr>
        <w:t>Además, porque no señala los motivos por los que considera le afecta la decisión de la Magistrada de la Primera Sala de Primera Instancia, de haber declarado la nulidad lisa y llana de la multa por infracción contenida en el oficio con número de control 01MI44ER170144 de fecha ocho de agosto de dos mil diecisiete, emitida por la Directora de Ingresos y Recaudación de la Subsecretaría de Ingresos de la Secretaría de Finanzas del Poder Ejecutivo del Estado de Oaxaca, pues únicamente se remite a señalar argumentos respecto a que al momento de emitirse la sentencia de 26 veintiséis de octubre de 2018 dos mil dieciocho, no se hizo una relación sucinta de las pruebas mencionadas y exhibidas en su escrito de contestación de demanda;</w:t>
      </w:r>
      <w:r>
        <w:rPr>
          <w:rFonts w:ascii="Arial" w:hAnsi="Arial" w:cs="Arial"/>
          <w:bCs/>
          <w:sz w:val="26"/>
          <w:szCs w:val="26"/>
        </w:rPr>
        <w:t xml:space="preserve"> por tanto,</w:t>
      </w:r>
      <w:r>
        <w:rPr>
          <w:rFonts w:ascii="Arial" w:eastAsia="Calibri" w:hAnsi="Arial" w:cs="Arial"/>
          <w:bCs/>
          <w:sz w:val="26"/>
          <w:szCs w:val="26"/>
        </w:rPr>
        <w:t xml:space="preserve"> al no controvertir la consideración en que se sustenta la sentencia de alzada, es por lo que sigue rigiendo el sentido del fallo, debido a que rige el principio de estricto derecho.</w:t>
      </w:r>
    </w:p>
    <w:p w:rsidR="00D716CC" w:rsidRPr="004B14C5" w:rsidRDefault="00D716CC" w:rsidP="00D716CC">
      <w:pPr>
        <w:shd w:val="clear" w:color="auto" w:fill="FFFFFF" w:themeFill="background1"/>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Tiene aplicación, por identidad jurídica, en lo conducente, la tesis del </w:t>
      </w:r>
      <w:r w:rsidRPr="00111A16">
        <w:rPr>
          <w:rFonts w:ascii="Arial" w:hAnsi="Arial" w:cs="Arial"/>
          <w:bCs/>
          <w:color w:val="000000"/>
          <w:sz w:val="26"/>
          <w:szCs w:val="26"/>
        </w:rPr>
        <w:t>Segundo Tribunal Colegiado de Circuito del Centro Auxiliar de l</w:t>
      </w:r>
      <w:r>
        <w:rPr>
          <w:rFonts w:ascii="Arial" w:hAnsi="Arial" w:cs="Arial"/>
          <w:bCs/>
          <w:color w:val="000000"/>
          <w:sz w:val="26"/>
          <w:szCs w:val="26"/>
        </w:rPr>
        <w:t xml:space="preserve">a Quinta Región, que aparece publicada en la página 1699 de la Gaceta del Semanario Judicial de la Federación, </w:t>
      </w:r>
      <w:r w:rsidRPr="00550202">
        <w:rPr>
          <w:rFonts w:ascii="Arial" w:hAnsi="Arial" w:cs="Arial"/>
          <w:bCs/>
          <w:color w:val="000000"/>
          <w:sz w:val="26"/>
          <w:szCs w:val="26"/>
        </w:rPr>
        <w:t>Libro 17, Abril de 2015, Tomo II</w:t>
      </w:r>
      <w:r>
        <w:rPr>
          <w:rFonts w:ascii="Arial" w:hAnsi="Arial" w:cs="Arial"/>
          <w:bCs/>
          <w:i/>
          <w:color w:val="000000"/>
          <w:sz w:val="26"/>
          <w:szCs w:val="26"/>
        </w:rPr>
        <w:t xml:space="preserve">, </w:t>
      </w:r>
      <w:r w:rsidRPr="00550202">
        <w:rPr>
          <w:rFonts w:ascii="Arial" w:hAnsi="Arial" w:cs="Arial"/>
          <w:bCs/>
          <w:color w:val="000000"/>
          <w:sz w:val="26"/>
          <w:szCs w:val="26"/>
        </w:rPr>
        <w:t>Décima Época, Materia Común, ba</w:t>
      </w:r>
      <w:r>
        <w:rPr>
          <w:rFonts w:ascii="Arial" w:hAnsi="Arial" w:cs="Arial"/>
          <w:bCs/>
          <w:color w:val="000000"/>
          <w:sz w:val="26"/>
          <w:szCs w:val="26"/>
        </w:rPr>
        <w:t>jo el rubro y texto siguientes:</w:t>
      </w:r>
    </w:p>
    <w:p w:rsidR="00D716CC" w:rsidRPr="007A6908" w:rsidRDefault="00D716CC" w:rsidP="00D716CC">
      <w:pPr>
        <w:spacing w:after="200" w:line="360" w:lineRule="auto"/>
        <w:ind w:left="993" w:right="900"/>
        <w:jc w:val="both"/>
        <w:rPr>
          <w:rFonts w:ascii="Arial" w:eastAsia="Calibri" w:hAnsi="Arial" w:cs="Arial"/>
          <w:bCs/>
          <w:i/>
        </w:rPr>
      </w:pPr>
      <w:r w:rsidRPr="007A6908">
        <w:rPr>
          <w:rFonts w:ascii="Arial" w:eastAsia="Calibri" w:hAnsi="Arial" w:cs="Arial"/>
          <w:bCs/>
          <w:i/>
        </w:rPr>
        <w:t>“</w:t>
      </w:r>
      <w:r w:rsidRPr="007A6908">
        <w:rPr>
          <w:rFonts w:ascii="Arial" w:eastAsia="Calibri" w:hAnsi="Arial" w:cs="Arial"/>
          <w:b/>
          <w:bCs/>
          <w:i/>
        </w:rPr>
        <w:t>CONCEPTOS O AGRAVIOS INOPERANTES. RAZONAMIENTO COMO COMPONENTE DE LA CAUSA DE PEDIR. QUÉ DEBE ENTENDERSE POR, PARA QUE PROCEDA SU ESTUDIO</w:t>
      </w:r>
      <w:r w:rsidRPr="007A6908">
        <w:rPr>
          <w:rFonts w:ascii="Arial" w:eastAsia="Calibri" w:hAnsi="Arial" w:cs="Arial"/>
          <w:bCs/>
          <w:i/>
        </w:rPr>
        <w:t xml:space="preserve">. De acuerdo con la conceptualización que han desarrollado diversos juristas de la doctrina moderna respecto de los elementos de la causa petendi,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w:t>
      </w:r>
      <w:r w:rsidRPr="007A6908">
        <w:rPr>
          <w:rFonts w:ascii="Arial" w:eastAsia="Calibri" w:hAnsi="Arial" w:cs="Arial"/>
          <w:bCs/>
          <w:i/>
        </w:rPr>
        <w:lastRenderedPageBreak/>
        <w:t>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w:t>
      </w:r>
      <w:r>
        <w:rPr>
          <w:rFonts w:ascii="Arial" w:eastAsia="Calibri" w:hAnsi="Arial" w:cs="Arial"/>
          <w:bCs/>
          <w:i/>
        </w:rPr>
        <w:t>s que dicha figura está vedada.”</w:t>
      </w:r>
    </w:p>
    <w:p w:rsidR="00D716CC" w:rsidRDefault="00D716CC" w:rsidP="00D716CC">
      <w:pPr>
        <w:spacing w:line="360" w:lineRule="auto"/>
        <w:ind w:firstLine="708"/>
        <w:jc w:val="both"/>
        <w:rPr>
          <w:rFonts w:ascii="Arial" w:hAnsi="Arial" w:cs="Arial"/>
          <w:sz w:val="26"/>
          <w:szCs w:val="26"/>
        </w:rPr>
      </w:pPr>
      <w:r w:rsidRPr="00DB04B5">
        <w:rPr>
          <w:rFonts w:ascii="Arial" w:hAnsi="Arial" w:cs="Arial"/>
          <w:bCs/>
          <w:sz w:val="26"/>
          <w:szCs w:val="26"/>
        </w:rPr>
        <w:t xml:space="preserve">Por las anteriores consideraciones </w:t>
      </w:r>
      <w:r w:rsidRPr="00DB04B5">
        <w:rPr>
          <w:rFonts w:ascii="Arial" w:hAnsi="Arial" w:cs="Arial"/>
          <w:b/>
          <w:bCs/>
          <w:sz w:val="26"/>
          <w:szCs w:val="26"/>
        </w:rPr>
        <w:t>SE CONFIRMA</w:t>
      </w:r>
      <w:r>
        <w:rPr>
          <w:rFonts w:ascii="Arial" w:hAnsi="Arial" w:cs="Arial"/>
          <w:b/>
          <w:bCs/>
          <w:sz w:val="26"/>
          <w:szCs w:val="26"/>
        </w:rPr>
        <w:t xml:space="preserve"> </w:t>
      </w:r>
      <w:r>
        <w:rPr>
          <w:rFonts w:ascii="Arial" w:hAnsi="Arial" w:cs="Arial"/>
          <w:bCs/>
          <w:sz w:val="26"/>
          <w:szCs w:val="26"/>
        </w:rPr>
        <w:t>la sentencia dictada el 26 veintiséis de octubre de 2018 dos mil dieciocho; por lo que</w:t>
      </w:r>
      <w:r w:rsidRPr="00DB04B5">
        <w:rPr>
          <w:rFonts w:ascii="Arial" w:hAnsi="Arial" w:cs="Arial"/>
          <w:sz w:val="26"/>
          <w:szCs w:val="26"/>
        </w:rPr>
        <w:t>, co</w:t>
      </w:r>
      <w:r w:rsidR="00870EE9">
        <w:rPr>
          <w:rFonts w:ascii="Arial" w:hAnsi="Arial" w:cs="Arial"/>
          <w:sz w:val="26"/>
          <w:szCs w:val="26"/>
        </w:rPr>
        <w:t>n fundamento en los artículos 237 y 23</w:t>
      </w:r>
      <w:r w:rsidRPr="00DB04B5">
        <w:rPr>
          <w:rFonts w:ascii="Arial" w:hAnsi="Arial" w:cs="Arial"/>
          <w:sz w:val="26"/>
          <w:szCs w:val="26"/>
        </w:rPr>
        <w:t xml:space="preserve">8 de la Ley de </w:t>
      </w:r>
      <w:r w:rsidR="00870EE9">
        <w:rPr>
          <w:rFonts w:ascii="Arial" w:hAnsi="Arial" w:cs="Arial"/>
          <w:sz w:val="26"/>
          <w:szCs w:val="26"/>
        </w:rPr>
        <w:t xml:space="preserve">Procedimiento y </w:t>
      </w:r>
      <w:r w:rsidRPr="00DB04B5">
        <w:rPr>
          <w:rFonts w:ascii="Arial" w:hAnsi="Arial" w:cs="Arial"/>
          <w:sz w:val="26"/>
          <w:szCs w:val="26"/>
        </w:rPr>
        <w:t>Justicia Administrativa para el Estado, se</w:t>
      </w:r>
      <w:r>
        <w:rPr>
          <w:rFonts w:ascii="Arial" w:hAnsi="Arial" w:cs="Arial"/>
          <w:sz w:val="26"/>
          <w:szCs w:val="26"/>
        </w:rPr>
        <w:t>:</w:t>
      </w:r>
    </w:p>
    <w:p w:rsidR="00D716CC" w:rsidRDefault="00D716CC" w:rsidP="00D716CC">
      <w:pPr>
        <w:spacing w:line="360" w:lineRule="auto"/>
        <w:ind w:firstLine="708"/>
        <w:jc w:val="both"/>
        <w:rPr>
          <w:rFonts w:ascii="Arial" w:hAnsi="Arial" w:cs="Arial"/>
          <w:sz w:val="26"/>
          <w:szCs w:val="26"/>
        </w:rPr>
      </w:pPr>
    </w:p>
    <w:p w:rsidR="00D716CC" w:rsidRDefault="00D716CC" w:rsidP="00D716CC">
      <w:pPr>
        <w:spacing w:line="360" w:lineRule="auto"/>
        <w:ind w:firstLine="708"/>
        <w:jc w:val="center"/>
        <w:rPr>
          <w:rFonts w:ascii="Arial" w:hAnsi="Arial" w:cs="Arial"/>
          <w:b/>
          <w:sz w:val="26"/>
          <w:szCs w:val="26"/>
        </w:rPr>
      </w:pPr>
      <w:r w:rsidRPr="00DB04B5">
        <w:rPr>
          <w:rFonts w:ascii="Arial" w:hAnsi="Arial" w:cs="Arial"/>
          <w:b/>
          <w:sz w:val="26"/>
          <w:szCs w:val="26"/>
        </w:rPr>
        <w:t>R E S U E L V E:</w:t>
      </w:r>
    </w:p>
    <w:p w:rsidR="00D716CC" w:rsidRPr="00104403" w:rsidRDefault="00D716CC" w:rsidP="00D716CC">
      <w:pPr>
        <w:spacing w:line="360" w:lineRule="auto"/>
        <w:ind w:firstLine="708"/>
        <w:jc w:val="center"/>
        <w:rPr>
          <w:rFonts w:ascii="Arial" w:hAnsi="Arial" w:cs="Arial"/>
          <w:sz w:val="26"/>
          <w:szCs w:val="26"/>
        </w:rPr>
      </w:pPr>
    </w:p>
    <w:p w:rsidR="00D716CC" w:rsidRDefault="00D716CC" w:rsidP="00D716CC">
      <w:pPr>
        <w:spacing w:line="360" w:lineRule="auto"/>
        <w:ind w:firstLine="708"/>
        <w:jc w:val="both"/>
        <w:rPr>
          <w:rFonts w:ascii="Arial" w:hAnsi="Arial" w:cs="Arial"/>
          <w:sz w:val="26"/>
          <w:szCs w:val="26"/>
        </w:rPr>
      </w:pPr>
      <w:r w:rsidRPr="00DB04B5">
        <w:rPr>
          <w:rFonts w:ascii="Arial" w:hAnsi="Arial" w:cs="Arial"/>
          <w:b/>
          <w:sz w:val="26"/>
          <w:szCs w:val="26"/>
        </w:rPr>
        <w:t>PRIMERO</w:t>
      </w:r>
      <w:r w:rsidRPr="00DB04B5">
        <w:rPr>
          <w:rFonts w:ascii="Arial" w:hAnsi="Arial" w:cs="Arial"/>
          <w:sz w:val="26"/>
          <w:szCs w:val="26"/>
        </w:rPr>
        <w:t xml:space="preserve">. Se </w:t>
      </w:r>
      <w:r w:rsidRPr="00DB04B5">
        <w:rPr>
          <w:rFonts w:ascii="Arial" w:hAnsi="Arial" w:cs="Arial"/>
          <w:b/>
          <w:sz w:val="26"/>
          <w:szCs w:val="26"/>
        </w:rPr>
        <w:t>CONFIRMA</w:t>
      </w:r>
      <w:r w:rsidRPr="00DB04B5">
        <w:rPr>
          <w:rFonts w:ascii="Arial" w:hAnsi="Arial" w:cs="Arial"/>
          <w:sz w:val="26"/>
          <w:szCs w:val="26"/>
        </w:rPr>
        <w:t xml:space="preserve"> la sentencia recurrida, en los términos precisados en el considerando </w:t>
      </w:r>
      <w:r>
        <w:rPr>
          <w:rFonts w:ascii="Arial" w:hAnsi="Arial" w:cs="Arial"/>
          <w:sz w:val="26"/>
          <w:szCs w:val="26"/>
        </w:rPr>
        <w:t>tercero de esta resolución.</w:t>
      </w:r>
    </w:p>
    <w:p w:rsidR="00D716CC" w:rsidRDefault="00D716CC" w:rsidP="00D716CC">
      <w:pPr>
        <w:spacing w:line="360" w:lineRule="auto"/>
        <w:ind w:firstLine="708"/>
        <w:jc w:val="both"/>
        <w:rPr>
          <w:rFonts w:ascii="Arial" w:hAnsi="Arial" w:cs="Arial"/>
          <w:sz w:val="26"/>
          <w:szCs w:val="26"/>
        </w:rPr>
      </w:pPr>
    </w:p>
    <w:p w:rsidR="00D716CC" w:rsidRPr="00DB04B5" w:rsidRDefault="00D716CC" w:rsidP="00D716CC">
      <w:pPr>
        <w:spacing w:line="360" w:lineRule="auto"/>
        <w:ind w:firstLine="708"/>
        <w:jc w:val="both"/>
        <w:rPr>
          <w:rFonts w:ascii="Arial" w:hAnsi="Arial" w:cs="Arial"/>
          <w:sz w:val="26"/>
          <w:szCs w:val="26"/>
        </w:rPr>
      </w:pPr>
      <w:r>
        <w:rPr>
          <w:rFonts w:ascii="Arial" w:hAnsi="Arial" w:cs="Arial"/>
          <w:b/>
          <w:sz w:val="26"/>
          <w:szCs w:val="26"/>
        </w:rPr>
        <w:t xml:space="preserve">SEGUNDO. </w:t>
      </w:r>
      <w:r w:rsidRPr="00DB04B5">
        <w:rPr>
          <w:rFonts w:ascii="Arial" w:hAnsi="Arial" w:cs="Arial"/>
          <w:b/>
          <w:sz w:val="26"/>
          <w:szCs w:val="26"/>
        </w:rPr>
        <w:t>NOTIFÍQUESE Y CÚMPLASE,</w:t>
      </w:r>
      <w:r w:rsidRPr="00DB04B5">
        <w:rPr>
          <w:rFonts w:ascii="Arial" w:hAnsi="Arial" w:cs="Arial"/>
          <w:sz w:val="26"/>
          <w:szCs w:val="26"/>
        </w:rPr>
        <w:t xml:space="preserve"> con copia certificada de la presente resolución, vuelvan las constancias remitidas a la </w:t>
      </w:r>
      <w:r>
        <w:rPr>
          <w:rFonts w:ascii="Arial" w:hAnsi="Arial" w:cs="Arial"/>
          <w:sz w:val="26"/>
          <w:szCs w:val="26"/>
        </w:rPr>
        <w:lastRenderedPageBreak/>
        <w:t>Primera</w:t>
      </w:r>
      <w:r w:rsidRPr="00DB04B5">
        <w:rPr>
          <w:rFonts w:ascii="Arial" w:hAnsi="Arial" w:cs="Arial"/>
          <w:sz w:val="26"/>
          <w:szCs w:val="26"/>
        </w:rPr>
        <w:t xml:space="preserve"> Sala Unitaria de Primera Instancia, y en su oportunidad archívese el cuaderno de revisión como concluido</w:t>
      </w:r>
      <w:r>
        <w:rPr>
          <w:rFonts w:ascii="Arial" w:hAnsi="Arial" w:cs="Arial"/>
          <w:sz w:val="26"/>
          <w:szCs w:val="26"/>
        </w:rPr>
        <w:t xml:space="preserve">. </w:t>
      </w:r>
    </w:p>
    <w:p w:rsidR="00D716CC" w:rsidRDefault="00D716CC" w:rsidP="00D716CC">
      <w:pPr>
        <w:spacing w:line="360" w:lineRule="auto"/>
        <w:ind w:firstLine="708"/>
        <w:jc w:val="both"/>
        <w:rPr>
          <w:rFonts w:ascii="Arial" w:hAnsi="Arial" w:cs="Arial"/>
          <w:sz w:val="26"/>
          <w:szCs w:val="26"/>
        </w:rPr>
      </w:pPr>
    </w:p>
    <w:p w:rsidR="00D716CC" w:rsidRDefault="00D716CC" w:rsidP="00D716CC">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Magistrada María Elena Villa de Jarquín, quienes actúan con la Secretaria General de Acuerdos de este Tribunal, que autoriza y da fe.</w:t>
      </w:r>
    </w:p>
    <w:p w:rsidR="00D716CC" w:rsidRDefault="00D716CC" w:rsidP="00D716CC">
      <w:pPr>
        <w:spacing w:line="360" w:lineRule="auto"/>
        <w:ind w:firstLine="708"/>
        <w:jc w:val="both"/>
        <w:rPr>
          <w:rFonts w:ascii="Arial" w:hAnsi="Arial" w:cs="Arial"/>
          <w:sz w:val="26"/>
          <w:szCs w:val="26"/>
        </w:rPr>
      </w:pPr>
    </w:p>
    <w:p w:rsidR="00D716CC" w:rsidRDefault="00D716CC" w:rsidP="00D716CC">
      <w:pPr>
        <w:spacing w:line="360" w:lineRule="auto"/>
        <w:ind w:firstLine="708"/>
        <w:jc w:val="both"/>
        <w:rPr>
          <w:rFonts w:ascii="Arial" w:hAnsi="Arial" w:cs="Arial"/>
          <w:sz w:val="26"/>
          <w:szCs w:val="26"/>
        </w:rPr>
      </w:pPr>
    </w:p>
    <w:p w:rsidR="00870EE9" w:rsidRDefault="00870EE9" w:rsidP="00D716CC">
      <w:pPr>
        <w:spacing w:line="360" w:lineRule="auto"/>
        <w:ind w:firstLine="708"/>
        <w:jc w:val="both"/>
        <w:rPr>
          <w:rFonts w:ascii="Arial" w:hAnsi="Arial" w:cs="Arial"/>
          <w:sz w:val="26"/>
          <w:szCs w:val="26"/>
        </w:rPr>
      </w:pPr>
    </w:p>
    <w:p w:rsidR="00D716CC" w:rsidRDefault="00D716CC" w:rsidP="00D716CC">
      <w:pPr>
        <w:jc w:val="center"/>
        <w:rPr>
          <w:rFonts w:ascii="Arial" w:eastAsia="Calibri" w:hAnsi="Arial" w:cs="Arial"/>
          <w:sz w:val="26"/>
          <w:szCs w:val="26"/>
        </w:rPr>
      </w:pPr>
    </w:p>
    <w:p w:rsidR="00D716CC" w:rsidRDefault="00D716CC" w:rsidP="00D716CC">
      <w:pPr>
        <w:jc w:val="center"/>
        <w:rPr>
          <w:rFonts w:ascii="Arial" w:hAnsi="Arial" w:cs="Arial"/>
          <w:sz w:val="26"/>
          <w:szCs w:val="26"/>
        </w:rPr>
      </w:pPr>
      <w:r>
        <w:rPr>
          <w:rFonts w:ascii="Arial" w:hAnsi="Arial" w:cs="Arial"/>
          <w:sz w:val="26"/>
          <w:szCs w:val="26"/>
        </w:rPr>
        <w:t>MAGISTRADO ADRIÁN QUIROGA AVENDAÑO.</w:t>
      </w:r>
    </w:p>
    <w:p w:rsidR="00D716CC" w:rsidRDefault="00D716CC" w:rsidP="00D716CC">
      <w:pPr>
        <w:jc w:val="center"/>
        <w:rPr>
          <w:rFonts w:ascii="Arial" w:hAnsi="Arial" w:cs="Arial"/>
          <w:sz w:val="26"/>
          <w:szCs w:val="26"/>
        </w:rPr>
      </w:pPr>
      <w:r>
        <w:rPr>
          <w:rFonts w:ascii="Arial" w:hAnsi="Arial" w:cs="Arial"/>
          <w:sz w:val="26"/>
          <w:szCs w:val="26"/>
        </w:rPr>
        <w:t>PRESIDENTE</w:t>
      </w:r>
    </w:p>
    <w:p w:rsidR="00D716CC" w:rsidRDefault="00D716CC" w:rsidP="00D716CC">
      <w:pPr>
        <w:rPr>
          <w:rFonts w:ascii="Arial" w:hAnsi="Arial" w:cs="Arial"/>
          <w:sz w:val="26"/>
          <w:szCs w:val="26"/>
        </w:rPr>
      </w:pPr>
    </w:p>
    <w:p w:rsidR="00D716CC" w:rsidRDefault="00D716CC" w:rsidP="00D716CC">
      <w:pPr>
        <w:jc w:val="center"/>
        <w:rPr>
          <w:rFonts w:ascii="Arial" w:hAnsi="Arial" w:cs="Arial"/>
          <w:sz w:val="26"/>
          <w:szCs w:val="26"/>
        </w:rPr>
      </w:pPr>
    </w:p>
    <w:p w:rsidR="00D716CC" w:rsidRDefault="00D716CC" w:rsidP="00D716CC">
      <w:pPr>
        <w:jc w:val="center"/>
        <w:rPr>
          <w:rFonts w:ascii="Arial" w:hAnsi="Arial" w:cs="Arial"/>
          <w:sz w:val="26"/>
          <w:szCs w:val="26"/>
        </w:rPr>
      </w:pPr>
    </w:p>
    <w:p w:rsidR="00870EE9" w:rsidRDefault="00870EE9" w:rsidP="00D716CC">
      <w:pPr>
        <w:jc w:val="center"/>
        <w:rPr>
          <w:rFonts w:ascii="Arial" w:hAnsi="Arial" w:cs="Arial"/>
          <w:sz w:val="26"/>
          <w:szCs w:val="26"/>
        </w:rPr>
      </w:pPr>
    </w:p>
    <w:p w:rsidR="00D716CC" w:rsidRDefault="00D716CC" w:rsidP="00D716CC">
      <w:pPr>
        <w:jc w:val="center"/>
        <w:rPr>
          <w:rFonts w:ascii="Arial" w:hAnsi="Arial" w:cs="Arial"/>
          <w:sz w:val="26"/>
          <w:szCs w:val="26"/>
        </w:rPr>
      </w:pPr>
    </w:p>
    <w:p w:rsidR="00D716CC" w:rsidRDefault="00D716CC" w:rsidP="00D716CC">
      <w:pPr>
        <w:jc w:val="center"/>
        <w:rPr>
          <w:rFonts w:ascii="Arial" w:hAnsi="Arial" w:cs="Arial"/>
          <w:sz w:val="26"/>
          <w:szCs w:val="26"/>
        </w:rPr>
      </w:pPr>
    </w:p>
    <w:p w:rsidR="00D716CC" w:rsidRDefault="00D716CC" w:rsidP="00D716CC">
      <w:pPr>
        <w:spacing w:line="360" w:lineRule="auto"/>
        <w:jc w:val="center"/>
        <w:rPr>
          <w:rFonts w:ascii="Arial" w:hAnsi="Arial" w:cs="Arial"/>
          <w:sz w:val="26"/>
          <w:szCs w:val="26"/>
        </w:rPr>
      </w:pPr>
      <w:r>
        <w:rPr>
          <w:rFonts w:ascii="Arial" w:hAnsi="Arial" w:cs="Arial"/>
          <w:sz w:val="26"/>
          <w:szCs w:val="26"/>
        </w:rPr>
        <w:t>MAGISTRADO HUGO VILLEGAS AQUINO.</w:t>
      </w:r>
    </w:p>
    <w:p w:rsidR="00D716CC" w:rsidRDefault="00D716CC"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26"/>
          <w:szCs w:val="26"/>
        </w:rPr>
      </w:pPr>
    </w:p>
    <w:p w:rsidR="00870EE9" w:rsidRDefault="00870EE9" w:rsidP="00D716CC">
      <w:pPr>
        <w:spacing w:line="360" w:lineRule="auto"/>
        <w:jc w:val="center"/>
        <w:rPr>
          <w:rFonts w:ascii="Arial" w:hAnsi="Arial" w:cs="Arial"/>
          <w:sz w:val="26"/>
          <w:szCs w:val="26"/>
        </w:rPr>
      </w:pPr>
    </w:p>
    <w:p w:rsidR="00D716CC" w:rsidRDefault="00D716CC" w:rsidP="00D716CC">
      <w:pPr>
        <w:spacing w:line="360" w:lineRule="auto"/>
        <w:jc w:val="center"/>
        <w:rPr>
          <w:rFonts w:ascii="Arial" w:hAnsi="Arial" w:cs="Arial"/>
          <w:sz w:val="26"/>
          <w:szCs w:val="26"/>
        </w:rPr>
      </w:pPr>
    </w:p>
    <w:p w:rsidR="00D716CC" w:rsidRDefault="00D716CC" w:rsidP="00D716CC">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D716CC" w:rsidRDefault="00D716CC" w:rsidP="00D716CC">
      <w:pPr>
        <w:spacing w:line="360" w:lineRule="auto"/>
        <w:jc w:val="center"/>
        <w:rPr>
          <w:rFonts w:ascii="Arial" w:hAnsi="Arial" w:cs="Arial"/>
          <w:sz w:val="14"/>
          <w:szCs w:val="26"/>
        </w:rPr>
      </w:pPr>
    </w:p>
    <w:p w:rsidR="00870EE9" w:rsidRDefault="00870EE9"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14"/>
          <w:szCs w:val="26"/>
        </w:rPr>
      </w:pPr>
    </w:p>
    <w:p w:rsidR="00870EE9" w:rsidRDefault="00870EE9"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14"/>
          <w:szCs w:val="26"/>
        </w:rPr>
      </w:pPr>
    </w:p>
    <w:p w:rsidR="00D716CC" w:rsidRDefault="00D716CC" w:rsidP="00D716CC">
      <w:pPr>
        <w:spacing w:line="360" w:lineRule="auto"/>
        <w:jc w:val="center"/>
        <w:rPr>
          <w:rFonts w:ascii="Arial" w:hAnsi="Arial" w:cs="Arial"/>
          <w:sz w:val="26"/>
          <w:szCs w:val="26"/>
        </w:rPr>
      </w:pPr>
    </w:p>
    <w:p w:rsidR="00D716CC" w:rsidRDefault="00D716CC" w:rsidP="00D716C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716CC" w:rsidRDefault="00D716CC" w:rsidP="00D716CC">
      <w:pPr>
        <w:jc w:val="center"/>
        <w:rPr>
          <w:rFonts w:ascii="Arial" w:eastAsia="Times New Roman" w:hAnsi="Arial" w:cs="Arial"/>
          <w:sz w:val="26"/>
          <w:szCs w:val="26"/>
        </w:rPr>
      </w:pPr>
    </w:p>
    <w:p w:rsidR="00D716CC" w:rsidRDefault="00D716CC" w:rsidP="00D716CC">
      <w:pPr>
        <w:rPr>
          <w:rFonts w:ascii="Arial" w:eastAsia="Times New Roman" w:hAnsi="Arial" w:cs="Arial"/>
          <w:sz w:val="26"/>
          <w:szCs w:val="26"/>
        </w:rPr>
      </w:pPr>
    </w:p>
    <w:p w:rsidR="00D716CC" w:rsidRDefault="00D716CC" w:rsidP="00D716CC">
      <w:pPr>
        <w:jc w:val="center"/>
        <w:rPr>
          <w:rFonts w:ascii="Arial" w:eastAsia="Times New Roman" w:hAnsi="Arial" w:cs="Arial"/>
          <w:sz w:val="26"/>
          <w:szCs w:val="26"/>
        </w:rPr>
      </w:pPr>
    </w:p>
    <w:p w:rsidR="00D716CC" w:rsidRDefault="00D716CC" w:rsidP="00D716CC">
      <w:pPr>
        <w:jc w:val="center"/>
        <w:rPr>
          <w:rFonts w:ascii="Arial" w:eastAsia="Times New Roman" w:hAnsi="Arial" w:cs="Arial"/>
          <w:sz w:val="26"/>
          <w:szCs w:val="26"/>
        </w:rPr>
      </w:pPr>
    </w:p>
    <w:p w:rsidR="00D716CC" w:rsidRDefault="00D716CC" w:rsidP="00D716CC">
      <w:pPr>
        <w:jc w:val="center"/>
        <w:rPr>
          <w:rFonts w:ascii="Arial" w:hAnsi="Arial" w:cs="Arial"/>
          <w:sz w:val="26"/>
          <w:szCs w:val="26"/>
        </w:rPr>
      </w:pPr>
    </w:p>
    <w:p w:rsidR="00870EE9" w:rsidRDefault="00870EE9" w:rsidP="00D716CC">
      <w:pPr>
        <w:jc w:val="center"/>
        <w:rPr>
          <w:rFonts w:ascii="Arial" w:hAnsi="Arial" w:cs="Arial"/>
          <w:sz w:val="26"/>
          <w:szCs w:val="26"/>
        </w:rPr>
      </w:pPr>
    </w:p>
    <w:p w:rsidR="00D716CC" w:rsidRDefault="00D716CC" w:rsidP="00D716CC">
      <w:pPr>
        <w:jc w:val="center"/>
        <w:rPr>
          <w:rFonts w:ascii="Arial" w:hAnsi="Arial" w:cs="Arial"/>
          <w:sz w:val="26"/>
          <w:szCs w:val="26"/>
        </w:rPr>
      </w:pPr>
    </w:p>
    <w:p w:rsidR="00D716CC" w:rsidRDefault="00D716CC" w:rsidP="00D716CC">
      <w:pPr>
        <w:jc w:val="center"/>
        <w:rPr>
          <w:rFonts w:ascii="Arial" w:hAnsi="Arial" w:cs="Arial"/>
          <w:sz w:val="26"/>
          <w:szCs w:val="26"/>
        </w:rPr>
      </w:pPr>
      <w:r>
        <w:rPr>
          <w:rFonts w:ascii="Arial" w:hAnsi="Arial" w:cs="Arial"/>
          <w:sz w:val="26"/>
          <w:szCs w:val="26"/>
        </w:rPr>
        <w:t>LICENCIADA LETICIA GARCIA SOTO.</w:t>
      </w:r>
    </w:p>
    <w:p w:rsidR="00011BA9" w:rsidRPr="00D716CC" w:rsidRDefault="00D716CC" w:rsidP="00D716CC">
      <w:pPr>
        <w:jc w:val="center"/>
      </w:pPr>
      <w:r>
        <w:rPr>
          <w:rFonts w:ascii="Arial" w:hAnsi="Arial" w:cs="Arial"/>
          <w:sz w:val="26"/>
          <w:szCs w:val="26"/>
        </w:rPr>
        <w:t xml:space="preserve">  SECRETARIA GENERAL DE ACUERDOS.</w:t>
      </w:r>
    </w:p>
    <w:sectPr w:rsidR="00011BA9" w:rsidRPr="00D716CC" w:rsidSect="001D692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31" w:rsidRDefault="00D24E31">
      <w:r>
        <w:separator/>
      </w:r>
    </w:p>
  </w:endnote>
  <w:endnote w:type="continuationSeparator" w:id="0">
    <w:p w:rsidR="00D24E31" w:rsidRDefault="00D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89" w:rsidRDefault="00863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89" w:rsidRDefault="00863689">
    <w:pPr>
      <w:pStyle w:val="Piedepgina"/>
    </w:pPr>
    <w:r>
      <w:rPr>
        <w:noProof/>
        <w:lang w:eastAsia="es-MX"/>
      </w:rPr>
      <w:drawing>
        <wp:anchor distT="0" distB="0" distL="114300" distR="114300" simplePos="0" relativeHeight="251677696" behindDoc="0" locked="0" layoutInCell="1" allowOverlap="1" wp14:anchorId="1922BB01" wp14:editId="646CD8F2">
          <wp:simplePos x="0" y="0"/>
          <wp:positionH relativeFrom="column">
            <wp:posOffset>-1182146</wp:posOffset>
          </wp:positionH>
          <wp:positionV relativeFrom="paragraph">
            <wp:posOffset>-5403253</wp:posOffset>
          </wp:positionV>
          <wp:extent cx="1188720" cy="112204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89" w:rsidRDefault="00863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31" w:rsidRDefault="00D24E31">
      <w:r>
        <w:separator/>
      </w:r>
    </w:p>
  </w:footnote>
  <w:footnote w:type="continuationSeparator" w:id="0">
    <w:p w:rsidR="00D24E31" w:rsidRDefault="00D2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4E284C">
        <w:pPr>
          <w:pStyle w:val="Encabezado"/>
          <w:jc w:val="center"/>
        </w:pPr>
        <w:r>
          <w:fldChar w:fldCharType="begin"/>
        </w:r>
        <w:r w:rsidR="00A059B8">
          <w:instrText>PAGE   \* MERGEFORMAT</w:instrText>
        </w:r>
        <w:r>
          <w:fldChar w:fldCharType="separate"/>
        </w:r>
        <w:r w:rsidR="00863689">
          <w:rPr>
            <w:noProof/>
          </w:rPr>
          <w:t>2</w:t>
        </w:r>
        <w:r>
          <w:fldChar w:fldCharType="end"/>
        </w:r>
      </w:p>
    </w:sdtContent>
  </w:sdt>
  <w:p w:rsidR="00032BE7" w:rsidRDefault="00863689">
    <w:pPr>
      <w:pStyle w:val="Encabezado"/>
    </w:pPr>
    <w:bookmarkStart w:id="0" w:name="_GoBack"/>
    <w:r>
      <w:rPr>
        <w:noProof/>
        <w:lang w:eastAsia="es-MX"/>
      </w:rPr>
      <w:drawing>
        <wp:anchor distT="0" distB="0" distL="114300" distR="114300" simplePos="0" relativeHeight="251675648" behindDoc="0" locked="0" layoutInCell="1" allowOverlap="1" wp14:anchorId="443CA394" wp14:editId="655C316A">
          <wp:simplePos x="0" y="0"/>
          <wp:positionH relativeFrom="column">
            <wp:posOffset>5196242</wp:posOffset>
          </wp:positionH>
          <wp:positionV relativeFrom="paragraph">
            <wp:posOffset>4914714</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4E284C" w:rsidP="007D05DF">
        <w:pPr>
          <w:pStyle w:val="Encabezado"/>
          <w:jc w:val="center"/>
          <w:rPr>
            <w:noProof/>
          </w:rPr>
        </w:pPr>
        <w:r>
          <w:fldChar w:fldCharType="begin"/>
        </w:r>
        <w:r w:rsidR="00A059B8">
          <w:instrText xml:space="preserve"> PAGE   \* MERGEFORMAT </w:instrText>
        </w:r>
        <w:r>
          <w:fldChar w:fldCharType="separate"/>
        </w:r>
        <w:r w:rsidR="00863689">
          <w:rPr>
            <w:noProof/>
          </w:rPr>
          <w:t>1</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55168" behindDoc="1" locked="0" layoutInCell="1" allowOverlap="1" wp14:anchorId="6E8B8C7A" wp14:editId="7A99062C">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45952" behindDoc="0" locked="0" layoutInCell="1" allowOverlap="1" wp14:anchorId="5B8ECEE1" wp14:editId="10A3623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89" w:rsidRDefault="008636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1A0B"/>
    <w:rsid w:val="000116A5"/>
    <w:rsid w:val="00011BA9"/>
    <w:rsid w:val="00015F1A"/>
    <w:rsid w:val="00016010"/>
    <w:rsid w:val="00020352"/>
    <w:rsid w:val="00031129"/>
    <w:rsid w:val="00032FC2"/>
    <w:rsid w:val="0003536D"/>
    <w:rsid w:val="00037C24"/>
    <w:rsid w:val="000473FB"/>
    <w:rsid w:val="000522B2"/>
    <w:rsid w:val="00054F1F"/>
    <w:rsid w:val="00055041"/>
    <w:rsid w:val="00061B70"/>
    <w:rsid w:val="00070517"/>
    <w:rsid w:val="00080CD4"/>
    <w:rsid w:val="000A027D"/>
    <w:rsid w:val="000A079B"/>
    <w:rsid w:val="000A2584"/>
    <w:rsid w:val="000A366F"/>
    <w:rsid w:val="000A5617"/>
    <w:rsid w:val="000B0572"/>
    <w:rsid w:val="000B1B01"/>
    <w:rsid w:val="000B39CB"/>
    <w:rsid w:val="000C0B75"/>
    <w:rsid w:val="000C19EE"/>
    <w:rsid w:val="000C4626"/>
    <w:rsid w:val="000D3CDF"/>
    <w:rsid w:val="000D57B0"/>
    <w:rsid w:val="000E0E1D"/>
    <w:rsid w:val="000F0742"/>
    <w:rsid w:val="000F3519"/>
    <w:rsid w:val="0010488B"/>
    <w:rsid w:val="00123FA0"/>
    <w:rsid w:val="00130306"/>
    <w:rsid w:val="001324E1"/>
    <w:rsid w:val="00135C79"/>
    <w:rsid w:val="00150149"/>
    <w:rsid w:val="00153575"/>
    <w:rsid w:val="001616E0"/>
    <w:rsid w:val="00163061"/>
    <w:rsid w:val="001656A9"/>
    <w:rsid w:val="001730A6"/>
    <w:rsid w:val="00181EC4"/>
    <w:rsid w:val="001B1499"/>
    <w:rsid w:val="001C14EB"/>
    <w:rsid w:val="001D4A15"/>
    <w:rsid w:val="001D6925"/>
    <w:rsid w:val="001D78D0"/>
    <w:rsid w:val="001F32A1"/>
    <w:rsid w:val="001F6414"/>
    <w:rsid w:val="00202FF6"/>
    <w:rsid w:val="002055B1"/>
    <w:rsid w:val="00216C95"/>
    <w:rsid w:val="00220910"/>
    <w:rsid w:val="00222DC5"/>
    <w:rsid w:val="00230C78"/>
    <w:rsid w:val="0023347D"/>
    <w:rsid w:val="00241104"/>
    <w:rsid w:val="00256139"/>
    <w:rsid w:val="0028788E"/>
    <w:rsid w:val="002A0364"/>
    <w:rsid w:val="002A1A0B"/>
    <w:rsid w:val="002A6A8F"/>
    <w:rsid w:val="002B2C49"/>
    <w:rsid w:val="002B3496"/>
    <w:rsid w:val="002C3A85"/>
    <w:rsid w:val="002D21CC"/>
    <w:rsid w:val="002D254F"/>
    <w:rsid w:val="002D74D8"/>
    <w:rsid w:val="002E296B"/>
    <w:rsid w:val="002E339B"/>
    <w:rsid w:val="002E36A2"/>
    <w:rsid w:val="0030177B"/>
    <w:rsid w:val="00305917"/>
    <w:rsid w:val="003116C2"/>
    <w:rsid w:val="003123AE"/>
    <w:rsid w:val="00312A48"/>
    <w:rsid w:val="00322ADC"/>
    <w:rsid w:val="00330D50"/>
    <w:rsid w:val="00343B85"/>
    <w:rsid w:val="00344138"/>
    <w:rsid w:val="00350A6C"/>
    <w:rsid w:val="0035481A"/>
    <w:rsid w:val="00355E87"/>
    <w:rsid w:val="0038566F"/>
    <w:rsid w:val="00397BE3"/>
    <w:rsid w:val="003A32CA"/>
    <w:rsid w:val="003A3447"/>
    <w:rsid w:val="003A6CAB"/>
    <w:rsid w:val="003B2344"/>
    <w:rsid w:val="003C14DE"/>
    <w:rsid w:val="003C3EDD"/>
    <w:rsid w:val="003E6BD1"/>
    <w:rsid w:val="003E7291"/>
    <w:rsid w:val="003F0594"/>
    <w:rsid w:val="003F547F"/>
    <w:rsid w:val="003F5942"/>
    <w:rsid w:val="003F7792"/>
    <w:rsid w:val="00406BC3"/>
    <w:rsid w:val="004128FE"/>
    <w:rsid w:val="0041496C"/>
    <w:rsid w:val="00420818"/>
    <w:rsid w:val="00423745"/>
    <w:rsid w:val="00425E4B"/>
    <w:rsid w:val="00431167"/>
    <w:rsid w:val="0043454C"/>
    <w:rsid w:val="00461D34"/>
    <w:rsid w:val="00471458"/>
    <w:rsid w:val="004802B4"/>
    <w:rsid w:val="004904B8"/>
    <w:rsid w:val="00494781"/>
    <w:rsid w:val="00495A53"/>
    <w:rsid w:val="00497C2E"/>
    <w:rsid w:val="004A4B67"/>
    <w:rsid w:val="004B2B49"/>
    <w:rsid w:val="004B41BF"/>
    <w:rsid w:val="004B4AF9"/>
    <w:rsid w:val="004D5F67"/>
    <w:rsid w:val="004E222F"/>
    <w:rsid w:val="004E284C"/>
    <w:rsid w:val="004E34AA"/>
    <w:rsid w:val="004F71BE"/>
    <w:rsid w:val="00500129"/>
    <w:rsid w:val="00501EBC"/>
    <w:rsid w:val="00517E29"/>
    <w:rsid w:val="00525343"/>
    <w:rsid w:val="0052565C"/>
    <w:rsid w:val="00532FC9"/>
    <w:rsid w:val="00537A53"/>
    <w:rsid w:val="00576325"/>
    <w:rsid w:val="00584AFE"/>
    <w:rsid w:val="00587634"/>
    <w:rsid w:val="00587F93"/>
    <w:rsid w:val="00597F77"/>
    <w:rsid w:val="005A7792"/>
    <w:rsid w:val="005D1999"/>
    <w:rsid w:val="005D4AEB"/>
    <w:rsid w:val="005D5E3E"/>
    <w:rsid w:val="005E0678"/>
    <w:rsid w:val="005E1B89"/>
    <w:rsid w:val="005E7451"/>
    <w:rsid w:val="00600574"/>
    <w:rsid w:val="00607008"/>
    <w:rsid w:val="0060751F"/>
    <w:rsid w:val="00617C70"/>
    <w:rsid w:val="006300BA"/>
    <w:rsid w:val="0063219A"/>
    <w:rsid w:val="0063586A"/>
    <w:rsid w:val="006701F3"/>
    <w:rsid w:val="006744C3"/>
    <w:rsid w:val="00676961"/>
    <w:rsid w:val="006A3A44"/>
    <w:rsid w:val="006B037F"/>
    <w:rsid w:val="006C15E4"/>
    <w:rsid w:val="006C16AA"/>
    <w:rsid w:val="006C2AE9"/>
    <w:rsid w:val="006D0D91"/>
    <w:rsid w:val="00712BD9"/>
    <w:rsid w:val="00716A0C"/>
    <w:rsid w:val="00720A1E"/>
    <w:rsid w:val="00724C7E"/>
    <w:rsid w:val="00731329"/>
    <w:rsid w:val="007363BC"/>
    <w:rsid w:val="007366F7"/>
    <w:rsid w:val="00761568"/>
    <w:rsid w:val="007761E4"/>
    <w:rsid w:val="00776C9F"/>
    <w:rsid w:val="007876C2"/>
    <w:rsid w:val="00791F7B"/>
    <w:rsid w:val="00793D05"/>
    <w:rsid w:val="007A4700"/>
    <w:rsid w:val="007C3DDF"/>
    <w:rsid w:val="007C7887"/>
    <w:rsid w:val="007D5311"/>
    <w:rsid w:val="007E5DD3"/>
    <w:rsid w:val="007E65C9"/>
    <w:rsid w:val="007F3F66"/>
    <w:rsid w:val="007F4B60"/>
    <w:rsid w:val="007F52C5"/>
    <w:rsid w:val="007F702F"/>
    <w:rsid w:val="007F7E96"/>
    <w:rsid w:val="00807FCE"/>
    <w:rsid w:val="0082359B"/>
    <w:rsid w:val="00840E75"/>
    <w:rsid w:val="00852356"/>
    <w:rsid w:val="00863689"/>
    <w:rsid w:val="008649FE"/>
    <w:rsid w:val="00870EE9"/>
    <w:rsid w:val="008767F0"/>
    <w:rsid w:val="00896F7E"/>
    <w:rsid w:val="008A03AE"/>
    <w:rsid w:val="008A4FE0"/>
    <w:rsid w:val="008B5B84"/>
    <w:rsid w:val="008D64D9"/>
    <w:rsid w:val="008E015B"/>
    <w:rsid w:val="008F0089"/>
    <w:rsid w:val="008F3004"/>
    <w:rsid w:val="008F39C8"/>
    <w:rsid w:val="008F65AE"/>
    <w:rsid w:val="00905574"/>
    <w:rsid w:val="00911FB5"/>
    <w:rsid w:val="00914E81"/>
    <w:rsid w:val="00917E7B"/>
    <w:rsid w:val="00936D81"/>
    <w:rsid w:val="00957723"/>
    <w:rsid w:val="00957860"/>
    <w:rsid w:val="0096681E"/>
    <w:rsid w:val="0098672B"/>
    <w:rsid w:val="00986BE1"/>
    <w:rsid w:val="00994F3A"/>
    <w:rsid w:val="009A4C09"/>
    <w:rsid w:val="009A79AA"/>
    <w:rsid w:val="009B2017"/>
    <w:rsid w:val="009B5A6A"/>
    <w:rsid w:val="009B6135"/>
    <w:rsid w:val="009C3521"/>
    <w:rsid w:val="009D5341"/>
    <w:rsid w:val="009E051A"/>
    <w:rsid w:val="009E4088"/>
    <w:rsid w:val="009E6295"/>
    <w:rsid w:val="009F13E3"/>
    <w:rsid w:val="00A040E1"/>
    <w:rsid w:val="00A059B8"/>
    <w:rsid w:val="00A062D7"/>
    <w:rsid w:val="00A145A9"/>
    <w:rsid w:val="00A17180"/>
    <w:rsid w:val="00A458AB"/>
    <w:rsid w:val="00A5711E"/>
    <w:rsid w:val="00A67BEE"/>
    <w:rsid w:val="00A9031C"/>
    <w:rsid w:val="00A93E92"/>
    <w:rsid w:val="00AA09A7"/>
    <w:rsid w:val="00AA2A95"/>
    <w:rsid w:val="00AA3746"/>
    <w:rsid w:val="00AA72F9"/>
    <w:rsid w:val="00AB742D"/>
    <w:rsid w:val="00AB7ED1"/>
    <w:rsid w:val="00AC7A5F"/>
    <w:rsid w:val="00AD1361"/>
    <w:rsid w:val="00AD29ED"/>
    <w:rsid w:val="00AE1F9F"/>
    <w:rsid w:val="00AF0155"/>
    <w:rsid w:val="00AF027E"/>
    <w:rsid w:val="00AF6729"/>
    <w:rsid w:val="00B017D1"/>
    <w:rsid w:val="00B0234A"/>
    <w:rsid w:val="00B07E60"/>
    <w:rsid w:val="00B2196F"/>
    <w:rsid w:val="00B37AD3"/>
    <w:rsid w:val="00B401DB"/>
    <w:rsid w:val="00B42596"/>
    <w:rsid w:val="00B465DF"/>
    <w:rsid w:val="00B52D36"/>
    <w:rsid w:val="00B61DD3"/>
    <w:rsid w:val="00B65AA4"/>
    <w:rsid w:val="00B709F6"/>
    <w:rsid w:val="00B71B31"/>
    <w:rsid w:val="00B77B7C"/>
    <w:rsid w:val="00B87914"/>
    <w:rsid w:val="00BB0BD2"/>
    <w:rsid w:val="00BB147D"/>
    <w:rsid w:val="00BB70DA"/>
    <w:rsid w:val="00BC510A"/>
    <w:rsid w:val="00BD1EC5"/>
    <w:rsid w:val="00BD2D15"/>
    <w:rsid w:val="00BF532E"/>
    <w:rsid w:val="00C04245"/>
    <w:rsid w:val="00C06DF4"/>
    <w:rsid w:val="00C14D4D"/>
    <w:rsid w:val="00C244B3"/>
    <w:rsid w:val="00C25318"/>
    <w:rsid w:val="00C255C1"/>
    <w:rsid w:val="00C27520"/>
    <w:rsid w:val="00C33024"/>
    <w:rsid w:val="00C4093B"/>
    <w:rsid w:val="00C53F01"/>
    <w:rsid w:val="00C62080"/>
    <w:rsid w:val="00C629E3"/>
    <w:rsid w:val="00C720D8"/>
    <w:rsid w:val="00C738F2"/>
    <w:rsid w:val="00C73BAE"/>
    <w:rsid w:val="00C73E06"/>
    <w:rsid w:val="00C8010F"/>
    <w:rsid w:val="00C83C41"/>
    <w:rsid w:val="00C941EB"/>
    <w:rsid w:val="00C94E4B"/>
    <w:rsid w:val="00C959C9"/>
    <w:rsid w:val="00CA416E"/>
    <w:rsid w:val="00CC0353"/>
    <w:rsid w:val="00CC0CA6"/>
    <w:rsid w:val="00CF1CC3"/>
    <w:rsid w:val="00CF384A"/>
    <w:rsid w:val="00D04138"/>
    <w:rsid w:val="00D049A0"/>
    <w:rsid w:val="00D10F9B"/>
    <w:rsid w:val="00D136F0"/>
    <w:rsid w:val="00D17896"/>
    <w:rsid w:val="00D20934"/>
    <w:rsid w:val="00D24E31"/>
    <w:rsid w:val="00D25501"/>
    <w:rsid w:val="00D3285D"/>
    <w:rsid w:val="00D3614B"/>
    <w:rsid w:val="00D40D12"/>
    <w:rsid w:val="00D51194"/>
    <w:rsid w:val="00D540BE"/>
    <w:rsid w:val="00D67633"/>
    <w:rsid w:val="00D716CC"/>
    <w:rsid w:val="00D7469C"/>
    <w:rsid w:val="00D777FD"/>
    <w:rsid w:val="00D85C03"/>
    <w:rsid w:val="00D96B0E"/>
    <w:rsid w:val="00DA3B6C"/>
    <w:rsid w:val="00DB40DC"/>
    <w:rsid w:val="00DB7533"/>
    <w:rsid w:val="00DC098C"/>
    <w:rsid w:val="00DC1F5B"/>
    <w:rsid w:val="00DD3DE8"/>
    <w:rsid w:val="00DD4395"/>
    <w:rsid w:val="00DE489B"/>
    <w:rsid w:val="00DE57B0"/>
    <w:rsid w:val="00DF486E"/>
    <w:rsid w:val="00E12ACB"/>
    <w:rsid w:val="00E141E9"/>
    <w:rsid w:val="00E20BEE"/>
    <w:rsid w:val="00E20FC1"/>
    <w:rsid w:val="00E21882"/>
    <w:rsid w:val="00E23747"/>
    <w:rsid w:val="00E271AE"/>
    <w:rsid w:val="00E368FA"/>
    <w:rsid w:val="00E47266"/>
    <w:rsid w:val="00E81C3A"/>
    <w:rsid w:val="00E82062"/>
    <w:rsid w:val="00E91C5E"/>
    <w:rsid w:val="00E91D67"/>
    <w:rsid w:val="00EA19F1"/>
    <w:rsid w:val="00EA3BAD"/>
    <w:rsid w:val="00EB047F"/>
    <w:rsid w:val="00EB4033"/>
    <w:rsid w:val="00EB6E16"/>
    <w:rsid w:val="00EC0207"/>
    <w:rsid w:val="00EC3BB1"/>
    <w:rsid w:val="00EC6DDA"/>
    <w:rsid w:val="00EC7C3C"/>
    <w:rsid w:val="00ED3DAB"/>
    <w:rsid w:val="00ED4A90"/>
    <w:rsid w:val="00EF00AB"/>
    <w:rsid w:val="00EF6B6F"/>
    <w:rsid w:val="00EF7969"/>
    <w:rsid w:val="00F1040E"/>
    <w:rsid w:val="00F205FA"/>
    <w:rsid w:val="00F22822"/>
    <w:rsid w:val="00F22D78"/>
    <w:rsid w:val="00F24620"/>
    <w:rsid w:val="00F326E9"/>
    <w:rsid w:val="00F34F13"/>
    <w:rsid w:val="00F53CCC"/>
    <w:rsid w:val="00F54B96"/>
    <w:rsid w:val="00F55BF2"/>
    <w:rsid w:val="00F629E1"/>
    <w:rsid w:val="00F6446F"/>
    <w:rsid w:val="00F66A1E"/>
    <w:rsid w:val="00F81A81"/>
    <w:rsid w:val="00F92696"/>
    <w:rsid w:val="00FA2FD7"/>
    <w:rsid w:val="00FA3178"/>
    <w:rsid w:val="00FA38E2"/>
    <w:rsid w:val="00FA47C0"/>
    <w:rsid w:val="00FC0760"/>
    <w:rsid w:val="00FC0CB8"/>
    <w:rsid w:val="00FC5BF8"/>
    <w:rsid w:val="00FF037A"/>
    <w:rsid w:val="00FF188B"/>
    <w:rsid w:val="00FF4341"/>
    <w:rsid w:val="00FF6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0630-A885-46AB-9D25-8605E232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Textodeglobo">
    <w:name w:val="Balloon Text"/>
    <w:basedOn w:val="Normal"/>
    <w:link w:val="TextodegloboCar"/>
    <w:uiPriority w:val="99"/>
    <w:semiHidden/>
    <w:unhideWhenUsed/>
    <w:rsid w:val="004D5F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F67"/>
    <w:rPr>
      <w:rFonts w:ascii="Segoe UI" w:hAnsi="Segoe UI" w:cs="Segoe UI"/>
      <w:sz w:val="18"/>
      <w:szCs w:val="18"/>
    </w:rPr>
  </w:style>
  <w:style w:type="paragraph" w:styleId="Piedepgina">
    <w:name w:val="footer"/>
    <w:basedOn w:val="Normal"/>
    <w:link w:val="PiedepginaCar"/>
    <w:uiPriority w:val="99"/>
    <w:unhideWhenUsed/>
    <w:rsid w:val="001D6925"/>
    <w:pPr>
      <w:tabs>
        <w:tab w:val="center" w:pos="4419"/>
        <w:tab w:val="right" w:pos="8838"/>
      </w:tabs>
    </w:pPr>
  </w:style>
  <w:style w:type="character" w:customStyle="1" w:styleId="PiedepginaCar">
    <w:name w:val="Pie de página Car"/>
    <w:basedOn w:val="Fuentedeprrafopredeter"/>
    <w:link w:val="Piedepgina"/>
    <w:uiPriority w:val="99"/>
    <w:rsid w:val="001D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FDDB-6278-456E-8616-10904348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2170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44</cp:revision>
  <cp:lastPrinted>2019-05-29T17:42:00Z</cp:lastPrinted>
  <dcterms:created xsi:type="dcterms:W3CDTF">2019-05-08T17:28:00Z</dcterms:created>
  <dcterms:modified xsi:type="dcterms:W3CDTF">2019-07-01T20:58:00Z</dcterms:modified>
</cp:coreProperties>
</file>