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1C" w:rsidRDefault="00DA6B1C" w:rsidP="00DA6B1C">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DA6B1C" w:rsidRDefault="00DA6B1C" w:rsidP="00DA6B1C">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015/2019</w:t>
      </w:r>
    </w:p>
    <w:p w:rsidR="00DA6B1C" w:rsidRDefault="00DA6B1C" w:rsidP="00DA6B1C">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0085/2018 PRIMERA SALA UNITARIA DE PRIMERA INSTANCIA</w:t>
      </w:r>
    </w:p>
    <w:p w:rsidR="00DA6B1C" w:rsidRDefault="00DA6B1C" w:rsidP="00DA6B1C">
      <w:pPr>
        <w:spacing w:line="240" w:lineRule="auto"/>
        <w:ind w:left="2124"/>
        <w:jc w:val="both"/>
        <w:rPr>
          <w:rFonts w:ascii="Arial" w:hAnsi="Arial" w:cs="Arial"/>
          <w:b/>
          <w:sz w:val="26"/>
          <w:szCs w:val="26"/>
        </w:rPr>
      </w:pPr>
      <w:r>
        <w:rPr>
          <w:rFonts w:ascii="Arial" w:hAnsi="Arial" w:cs="Arial"/>
          <w:b/>
          <w:sz w:val="26"/>
          <w:szCs w:val="26"/>
        </w:rPr>
        <w:t>PONENTE: MAGISTRADO ENRIQUE PACHECO MARTÍNEZ.</w:t>
      </w:r>
    </w:p>
    <w:p w:rsidR="00DA6B1C" w:rsidRDefault="00DA6B1C" w:rsidP="00DA6B1C">
      <w:pPr>
        <w:spacing w:before="240" w:line="360" w:lineRule="auto"/>
        <w:jc w:val="both"/>
        <w:rPr>
          <w:rFonts w:ascii="Arial" w:hAnsi="Arial" w:cs="Arial"/>
          <w:b/>
          <w:sz w:val="26"/>
          <w:szCs w:val="26"/>
        </w:rPr>
      </w:pPr>
      <w:r>
        <w:rPr>
          <w:rFonts w:ascii="Arial" w:hAnsi="Arial" w:cs="Arial"/>
          <w:b/>
          <w:sz w:val="26"/>
          <w:szCs w:val="26"/>
        </w:rPr>
        <w:t>OAXACA DE JUÁREZ, OAXACA A VEINTE DE JUNIO DE DOS MIL DIECINUEVE.</w:t>
      </w:r>
    </w:p>
    <w:p w:rsidR="00DA6B1C" w:rsidRPr="00CB6405" w:rsidRDefault="00DA6B1C" w:rsidP="00DA6B1C">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Pr>
          <w:rFonts w:ascii="Arial" w:hAnsi="Arial" w:cs="Arial"/>
          <w:b/>
          <w:sz w:val="26"/>
          <w:szCs w:val="26"/>
        </w:rPr>
        <w:t>15</w:t>
      </w:r>
      <w:r w:rsidRPr="00623318">
        <w:rPr>
          <w:rFonts w:ascii="Arial" w:hAnsi="Arial" w:cs="Arial"/>
          <w:b/>
          <w:sz w:val="26"/>
          <w:szCs w:val="26"/>
        </w:rPr>
        <w:t>/201</w:t>
      </w:r>
      <w:r>
        <w:rPr>
          <w:rFonts w:ascii="Arial" w:hAnsi="Arial" w:cs="Arial"/>
          <w:b/>
          <w:sz w:val="26"/>
          <w:szCs w:val="26"/>
        </w:rPr>
        <w:t>9</w:t>
      </w:r>
      <w:r w:rsidRPr="006E349D">
        <w:rPr>
          <w:rFonts w:ascii="Arial" w:hAnsi="Arial" w:cs="Arial"/>
          <w:sz w:val="26"/>
          <w:szCs w:val="26"/>
        </w:rPr>
        <w:t>, que remite la Secretaría General de Acuerdos, con motivo del recurso de revisión interpuesto por</w:t>
      </w:r>
      <w:r>
        <w:rPr>
          <w:rFonts w:ascii="Arial" w:hAnsi="Arial" w:cs="Arial"/>
          <w:sz w:val="26"/>
          <w:szCs w:val="26"/>
        </w:rPr>
        <w:t xml:space="preserve"> </w:t>
      </w:r>
      <w:r w:rsidR="00365BA8">
        <w:rPr>
          <w:rFonts w:ascii="Arial" w:hAnsi="Arial" w:cs="Arial"/>
          <w:b/>
          <w:sz w:val="26"/>
          <w:szCs w:val="26"/>
        </w:rPr>
        <w:t>**********</w:t>
      </w:r>
      <w:r w:rsidRPr="005D4677">
        <w:rPr>
          <w:rFonts w:ascii="Arial" w:hAnsi="Arial" w:cs="Arial"/>
          <w:sz w:val="26"/>
          <w:szCs w:val="26"/>
        </w:rPr>
        <w:t>,</w:t>
      </w:r>
      <w:r w:rsidRPr="00FA5B98">
        <w:rPr>
          <w:rFonts w:ascii="Arial" w:hAnsi="Arial" w:cs="Arial"/>
          <w:sz w:val="26"/>
          <w:szCs w:val="26"/>
        </w:rPr>
        <w:t xml:space="preserve"> </w:t>
      </w:r>
      <w:r>
        <w:rPr>
          <w:rFonts w:ascii="Arial" w:hAnsi="Arial" w:cs="Arial"/>
          <w:sz w:val="26"/>
          <w:szCs w:val="26"/>
        </w:rPr>
        <w:t xml:space="preserve">en contra de la parte relativa del acuerdo de veintiocho de noviembre de dos mil dieciocho, dictado en el expediente </w:t>
      </w:r>
      <w:r>
        <w:rPr>
          <w:rFonts w:ascii="Arial" w:hAnsi="Arial" w:cs="Arial"/>
          <w:b/>
          <w:sz w:val="26"/>
          <w:szCs w:val="26"/>
        </w:rPr>
        <w:t>0085</w:t>
      </w:r>
      <w:r w:rsidRPr="005540FC">
        <w:rPr>
          <w:rFonts w:ascii="Arial" w:hAnsi="Arial" w:cs="Arial"/>
          <w:b/>
          <w:sz w:val="26"/>
          <w:szCs w:val="26"/>
        </w:rPr>
        <w:t>/201</w:t>
      </w:r>
      <w:r>
        <w:rPr>
          <w:rFonts w:ascii="Arial" w:hAnsi="Arial" w:cs="Arial"/>
          <w:b/>
          <w:sz w:val="26"/>
          <w:szCs w:val="26"/>
        </w:rPr>
        <w:t xml:space="preserve">8 </w:t>
      </w:r>
      <w:r>
        <w:rPr>
          <w:rFonts w:ascii="Arial" w:hAnsi="Arial" w:cs="Arial"/>
          <w:sz w:val="26"/>
          <w:szCs w:val="26"/>
        </w:rPr>
        <w:t xml:space="preserve">de la Primera Sala Unitaria de Primera Instancia, relativo al juicio de nulidad promovido por el </w:t>
      </w:r>
      <w:r w:rsidRPr="009E7117">
        <w:rPr>
          <w:rFonts w:ascii="Arial" w:hAnsi="Arial" w:cs="Arial"/>
          <w:b/>
          <w:sz w:val="26"/>
          <w:szCs w:val="26"/>
        </w:rPr>
        <w:t>RECURRENTE</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de la </w:t>
      </w:r>
      <w:r>
        <w:rPr>
          <w:rFonts w:ascii="Arial" w:hAnsi="Arial" w:cs="Arial"/>
          <w:b/>
          <w:sz w:val="26"/>
          <w:szCs w:val="26"/>
        </w:rPr>
        <w:t>DIRECTORA DE INGRESOS Y RECAUDACIÓN DE LA SECRETARÍA DE FINANZAS DEL PODER EJECUTIVO DEL ESTADO DE OAXACA</w:t>
      </w:r>
      <w:r w:rsidRPr="005D4677">
        <w:rPr>
          <w:rFonts w:ascii="Arial" w:hAnsi="Arial" w:cs="Arial"/>
          <w:sz w:val="26"/>
          <w:szCs w:val="26"/>
        </w:rPr>
        <w:t>;</w:t>
      </w:r>
      <w:r>
        <w:rPr>
          <w:rFonts w:ascii="Arial" w:hAnsi="Arial" w:cs="Arial"/>
          <w:b/>
          <w:sz w:val="26"/>
          <w:szCs w:val="26"/>
        </w:rPr>
        <w:t xml:space="preserve"> </w:t>
      </w:r>
      <w:r w:rsidRPr="00CB6405">
        <w:rPr>
          <w:rFonts w:ascii="Arial" w:hAnsi="Arial" w:cs="Arial"/>
          <w:sz w:val="26"/>
          <w:szCs w:val="26"/>
        </w:rPr>
        <w:t xml:space="preserve">por lo que con fundamento en los </w:t>
      </w:r>
      <w:r>
        <w:rPr>
          <w:rFonts w:ascii="Arial" w:hAnsi="Arial" w:cs="Arial"/>
          <w:sz w:val="26"/>
          <w:szCs w:val="26"/>
        </w:rPr>
        <w:t>artículos 236 y 23</w:t>
      </w:r>
      <w:r w:rsidRPr="00CB6405">
        <w:rPr>
          <w:rFonts w:ascii="Arial" w:hAnsi="Arial" w:cs="Arial"/>
          <w:sz w:val="26"/>
          <w:szCs w:val="26"/>
        </w:rPr>
        <w:t xml:space="preserve">8 de la Ley de </w:t>
      </w:r>
      <w:r>
        <w:rPr>
          <w:rFonts w:ascii="Arial" w:hAnsi="Arial" w:cs="Arial"/>
          <w:sz w:val="26"/>
          <w:szCs w:val="26"/>
        </w:rPr>
        <w:t xml:space="preserve">Procedimiento y Justicia Administrativa para el </w:t>
      </w:r>
      <w:r w:rsidRPr="00CB6405">
        <w:rPr>
          <w:rFonts w:ascii="Arial" w:hAnsi="Arial" w:cs="Arial"/>
          <w:sz w:val="26"/>
          <w:szCs w:val="26"/>
        </w:rPr>
        <w:t>Estado de Oaxaca</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DA6B1C" w:rsidRDefault="00DA6B1C" w:rsidP="00DA6B1C">
      <w:pPr>
        <w:spacing w:line="360" w:lineRule="auto"/>
        <w:ind w:firstLine="708"/>
        <w:jc w:val="center"/>
        <w:rPr>
          <w:rFonts w:ascii="Arial" w:hAnsi="Arial" w:cs="Arial"/>
          <w:b/>
          <w:bCs/>
          <w:sz w:val="26"/>
          <w:szCs w:val="26"/>
        </w:rPr>
      </w:pPr>
      <w:r>
        <w:rPr>
          <w:rFonts w:ascii="Arial" w:hAnsi="Arial" w:cs="Arial"/>
          <w:b/>
          <w:bCs/>
          <w:sz w:val="26"/>
          <w:szCs w:val="26"/>
        </w:rPr>
        <w:t>R E S U L T A N D O</w:t>
      </w:r>
    </w:p>
    <w:p w:rsidR="00DA6B1C" w:rsidRDefault="00DA6B1C" w:rsidP="00DA6B1C">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parte relativa del acuerdo de veintiocho de noviembre de dos mil dieciocho, dictado por la Primera Sala Unitaria de Primera Instancia, </w:t>
      </w:r>
      <w:r w:rsidR="00365BA8">
        <w:rPr>
          <w:rFonts w:ascii="Arial" w:hAnsi="Arial" w:cs="Arial"/>
          <w:b/>
          <w:sz w:val="26"/>
          <w:szCs w:val="26"/>
        </w:rPr>
        <w:t>**********</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interpuso en su contra recurso de revisión.</w:t>
      </w:r>
    </w:p>
    <w:p w:rsidR="00DA6B1C" w:rsidRDefault="00DA6B1C" w:rsidP="00DA6B1C">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bCs/>
          <w:sz w:val="26"/>
          <w:szCs w:val="26"/>
        </w:rPr>
        <w:t xml:space="preserve">La parte conducente del acuerdo </w:t>
      </w:r>
      <w:r>
        <w:rPr>
          <w:rFonts w:ascii="Arial" w:hAnsi="Arial" w:cs="Arial"/>
          <w:sz w:val="26"/>
          <w:szCs w:val="26"/>
        </w:rPr>
        <w:t>recurrido es la siguiente:</w:t>
      </w:r>
    </w:p>
    <w:p w:rsidR="00DA6B1C" w:rsidRPr="00A33339" w:rsidRDefault="00DA6B1C" w:rsidP="00DA6B1C">
      <w:pPr>
        <w:spacing w:before="240" w:line="360" w:lineRule="auto"/>
        <w:ind w:left="1134" w:right="566"/>
        <w:jc w:val="both"/>
        <w:rPr>
          <w:rFonts w:ascii="Arial" w:eastAsia="Calibri" w:hAnsi="Arial" w:cs="Arial"/>
          <w:bCs/>
          <w:color w:val="000000" w:themeColor="text1"/>
        </w:rPr>
      </w:pPr>
      <w:r w:rsidRPr="00A33339">
        <w:rPr>
          <w:rFonts w:ascii="Arial" w:eastAsia="Calibri" w:hAnsi="Arial" w:cs="Arial"/>
          <w:bCs/>
          <w:color w:val="000000" w:themeColor="text1"/>
        </w:rPr>
        <w:t>“…</w:t>
      </w:r>
      <w:r w:rsidRPr="00A33339">
        <w:rPr>
          <w:rFonts w:ascii="Arial" w:eastAsia="Calibri" w:hAnsi="Arial" w:cs="Arial"/>
          <w:bCs/>
          <w:i/>
          <w:color w:val="000000" w:themeColor="text1"/>
        </w:rPr>
        <w:t xml:space="preserve">así mismo de conformidad en lo previsto por los numerales 188 y 189 del ordenamiento legal antes invocado se le tiene por ofrecidas y admitidas sus pruebas que hace valer como son las </w:t>
      </w:r>
      <w:r w:rsidRPr="00A33339">
        <w:rPr>
          <w:rFonts w:ascii="Arial" w:eastAsia="Calibri" w:hAnsi="Arial" w:cs="Arial"/>
          <w:b/>
          <w:bCs/>
          <w:i/>
          <w:color w:val="000000" w:themeColor="text1"/>
        </w:rPr>
        <w:t>documentales públicas,</w:t>
      </w:r>
      <w:r w:rsidRPr="00A33339">
        <w:rPr>
          <w:rFonts w:ascii="Arial" w:eastAsia="Calibri" w:hAnsi="Arial" w:cs="Arial"/>
          <w:bCs/>
          <w:i/>
          <w:color w:val="000000" w:themeColor="text1"/>
        </w:rPr>
        <w:t xml:space="preserve"> consistentes en copias certificadas de la multa por infracción relacionada con la prestación de declaraciones de impuestos sobre erogaciones por remuneraciones al trabajo personal de veintisiete de julio de dos mil dieciocho con número de control 01MO49ER180285 con su respectiva notificación, </w:t>
      </w:r>
      <w:r w:rsidRPr="00A33339">
        <w:rPr>
          <w:rFonts w:ascii="Arial" w:eastAsia="Calibri" w:hAnsi="Arial" w:cs="Arial"/>
          <w:b/>
          <w:bCs/>
          <w:i/>
          <w:color w:val="000000" w:themeColor="text1"/>
        </w:rPr>
        <w:t xml:space="preserve">la instrumental de actuaciones, la presuncional legal y humana; </w:t>
      </w:r>
      <w:r w:rsidRPr="00A33339">
        <w:rPr>
          <w:rFonts w:ascii="Arial" w:eastAsia="Calibri" w:hAnsi="Arial" w:cs="Arial"/>
          <w:bCs/>
          <w:i/>
          <w:color w:val="000000" w:themeColor="text1"/>
        </w:rPr>
        <w:t xml:space="preserve">por lo que con el de cuenta y anexos se ordena correr traslado a </w:t>
      </w:r>
      <w:r w:rsidRPr="00A33339">
        <w:rPr>
          <w:rFonts w:ascii="Arial" w:eastAsia="Calibri" w:hAnsi="Arial" w:cs="Arial"/>
          <w:bCs/>
          <w:i/>
          <w:color w:val="000000" w:themeColor="text1"/>
        </w:rPr>
        <w:lastRenderedPageBreak/>
        <w:t>su contraria para los efectos precisados en el numeral 158 de la Ley de la materia.</w:t>
      </w:r>
      <w:r w:rsidRPr="00A33339">
        <w:rPr>
          <w:rFonts w:ascii="Arial" w:eastAsia="Calibri" w:hAnsi="Arial" w:cs="Arial"/>
          <w:bCs/>
          <w:color w:val="000000" w:themeColor="text1"/>
        </w:rPr>
        <w:t>”</w:t>
      </w:r>
    </w:p>
    <w:p w:rsidR="00DA6B1C" w:rsidRPr="00126E20" w:rsidRDefault="00DA6B1C" w:rsidP="00DA6B1C">
      <w:pPr>
        <w:tabs>
          <w:tab w:val="left" w:pos="2460"/>
          <w:tab w:val="center" w:pos="4253"/>
        </w:tabs>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DA6B1C" w:rsidRPr="00CB6405" w:rsidRDefault="00DA6B1C" w:rsidP="00DA6B1C">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w:t>
      </w:r>
      <w:r>
        <w:rPr>
          <w:rFonts w:ascii="Arial" w:hAnsi="Arial" w:cs="Arial"/>
          <w:bCs/>
          <w:iCs/>
          <w:sz w:val="26"/>
          <w:szCs w:val="26"/>
          <w:lang w:eastAsia="es-ES"/>
        </w:rPr>
        <w:t xml:space="preserve">conformidad con lo dispuesto por los </w:t>
      </w:r>
      <w:r>
        <w:rPr>
          <w:rFonts w:ascii="Arial" w:hAnsi="Arial" w:cs="Arial"/>
          <w:bCs/>
          <w:iCs/>
          <w:sz w:val="26"/>
          <w:szCs w:val="26"/>
        </w:rPr>
        <w:t>artículos 114 Quáter de la Constitución Política del Estado Libre y Soberano de Oaxaca;</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w:t>
      </w:r>
      <w:r w:rsidRPr="00CB6405">
        <w:rPr>
          <w:rFonts w:ascii="Arial" w:hAnsi="Arial" w:cs="Arial"/>
          <w:bCs/>
          <w:iCs/>
          <w:sz w:val="26"/>
          <w:szCs w:val="26"/>
        </w:rPr>
        <w:t>l</w:t>
      </w:r>
      <w:r>
        <w:rPr>
          <w:rFonts w:ascii="Arial" w:hAnsi="Arial" w:cs="Arial"/>
          <w:bCs/>
          <w:iCs/>
          <w:sz w:val="26"/>
          <w:szCs w:val="26"/>
        </w:rPr>
        <w:t xml:space="preserve">a parte relativa del auto de veintiocho de noviembre de dos mil dieciocho, dictado </w:t>
      </w:r>
      <w:r w:rsidRPr="00CB6405">
        <w:rPr>
          <w:rFonts w:ascii="Arial" w:hAnsi="Arial" w:cs="Arial"/>
          <w:bCs/>
          <w:iCs/>
          <w:sz w:val="26"/>
          <w:szCs w:val="26"/>
        </w:rPr>
        <w:t xml:space="preserve">por la </w:t>
      </w:r>
      <w:r>
        <w:rPr>
          <w:rFonts w:ascii="Arial" w:hAnsi="Arial" w:cs="Arial"/>
          <w:bCs/>
          <w:iCs/>
          <w:sz w:val="26"/>
          <w:szCs w:val="26"/>
        </w:rPr>
        <w:t xml:space="preserve">Primera Sala </w:t>
      </w:r>
      <w:r w:rsidRPr="00CB6405">
        <w:rPr>
          <w:rFonts w:ascii="Arial" w:hAnsi="Arial" w:cs="Arial"/>
          <w:bCs/>
          <w:iCs/>
          <w:sz w:val="26"/>
          <w:szCs w:val="26"/>
        </w:rPr>
        <w:t xml:space="preserve">Unitaria de Primera Instancia de este Tribunal, en el expediente </w:t>
      </w:r>
      <w:r>
        <w:rPr>
          <w:rFonts w:ascii="Arial" w:hAnsi="Arial" w:cs="Arial"/>
          <w:b/>
          <w:bCs/>
          <w:iCs/>
          <w:sz w:val="26"/>
          <w:szCs w:val="26"/>
        </w:rPr>
        <w:t>0085/2018</w:t>
      </w:r>
      <w:r w:rsidRPr="00CB6405">
        <w:rPr>
          <w:rFonts w:ascii="Arial" w:hAnsi="Arial" w:cs="Arial"/>
          <w:sz w:val="26"/>
          <w:szCs w:val="26"/>
        </w:rPr>
        <w:t>.</w:t>
      </w:r>
    </w:p>
    <w:p w:rsidR="00DA6B1C" w:rsidRDefault="00DA6B1C" w:rsidP="00DA6B1C">
      <w:pPr>
        <w:spacing w:before="240" w:line="360" w:lineRule="auto"/>
        <w:ind w:firstLine="708"/>
        <w:jc w:val="both"/>
        <w:rPr>
          <w:rFonts w:ascii="Arial" w:hAnsi="Arial" w:cs="Arial"/>
          <w:color w:val="000000"/>
          <w:sz w:val="26"/>
          <w:szCs w:val="26"/>
        </w:rPr>
      </w:pPr>
      <w:r w:rsidRPr="006E349D">
        <w:rPr>
          <w:rFonts w:ascii="Arial" w:hAnsi="Arial" w:cs="Arial"/>
          <w:b/>
          <w:bCs/>
          <w:sz w:val="26"/>
          <w:szCs w:val="26"/>
        </w:rPr>
        <w:t>SEGUNDO.</w:t>
      </w:r>
      <w:r w:rsidRPr="006E349D">
        <w:rPr>
          <w:rFonts w:ascii="Arial" w:hAnsi="Arial" w:cs="Arial"/>
          <w:bCs/>
          <w:sz w:val="26"/>
          <w:szCs w:val="26"/>
        </w:rPr>
        <w:t xml:space="preserve"> </w:t>
      </w:r>
      <w:r>
        <w:rPr>
          <w:rFonts w:ascii="Arial" w:hAnsi="Arial" w:cs="Arial"/>
          <w:color w:val="000000"/>
          <w:sz w:val="26"/>
          <w:szCs w:val="26"/>
        </w:rPr>
        <w:t>De la lectura integral al presente cuaderno de revisión, se advierte que el aquí recurrente interpone recurso en contra de la parte relativa del auto de veintiocho de noviembre del año en curso, en el que la magistrada de primera instancia determinó: “…</w:t>
      </w:r>
      <w:r w:rsidRPr="0001548C">
        <w:rPr>
          <w:rFonts w:ascii="Arial" w:eastAsia="Calibri" w:hAnsi="Arial" w:cs="Arial"/>
          <w:bCs/>
          <w:i/>
          <w:color w:val="000000" w:themeColor="text1"/>
          <w:sz w:val="24"/>
          <w:szCs w:val="24"/>
        </w:rPr>
        <w:t xml:space="preserve">así mismo de conformidad en lo previsto por los numerales 188 y 189 del ordenamiento legal antes invocado se le tiene por ofrecidas y admitidas sus pruebas que hace valer como son las </w:t>
      </w:r>
      <w:r w:rsidRPr="0001548C">
        <w:rPr>
          <w:rFonts w:ascii="Arial" w:eastAsia="Calibri" w:hAnsi="Arial" w:cs="Arial"/>
          <w:b/>
          <w:bCs/>
          <w:i/>
          <w:color w:val="000000" w:themeColor="text1"/>
          <w:sz w:val="24"/>
          <w:szCs w:val="24"/>
        </w:rPr>
        <w:t>documentales públicas,</w:t>
      </w:r>
      <w:r w:rsidRPr="0001548C">
        <w:rPr>
          <w:rFonts w:ascii="Arial" w:eastAsia="Calibri" w:hAnsi="Arial" w:cs="Arial"/>
          <w:bCs/>
          <w:i/>
          <w:color w:val="000000" w:themeColor="text1"/>
          <w:sz w:val="24"/>
          <w:szCs w:val="24"/>
        </w:rPr>
        <w:t xml:space="preserve"> consistentes en copias certificadas de la multa por infracción relacionada con la prestación de declaraciones d</w:t>
      </w:r>
      <w:r>
        <w:rPr>
          <w:rFonts w:ascii="Arial" w:eastAsia="Calibri" w:hAnsi="Arial" w:cs="Arial"/>
          <w:bCs/>
          <w:i/>
          <w:color w:val="000000" w:themeColor="text1"/>
          <w:sz w:val="24"/>
          <w:szCs w:val="24"/>
        </w:rPr>
        <w:t xml:space="preserve">e impuestos sobre erogaciones por remuneraciones al trabajo personal de veintisiete de julio de dos mil dieciocho con número de control 01MO49ER180285 con su respectiva notificación, </w:t>
      </w:r>
      <w:r>
        <w:rPr>
          <w:rFonts w:ascii="Arial" w:eastAsia="Calibri" w:hAnsi="Arial" w:cs="Arial"/>
          <w:b/>
          <w:bCs/>
          <w:i/>
          <w:color w:val="000000" w:themeColor="text1"/>
          <w:sz w:val="24"/>
          <w:szCs w:val="24"/>
        </w:rPr>
        <w:t xml:space="preserve">la instrumental de actuaciones, la presuncional legal y humana; </w:t>
      </w:r>
      <w:r>
        <w:rPr>
          <w:rFonts w:ascii="Arial" w:eastAsia="Calibri" w:hAnsi="Arial" w:cs="Arial"/>
          <w:bCs/>
          <w:i/>
          <w:color w:val="000000" w:themeColor="text1"/>
          <w:sz w:val="24"/>
          <w:szCs w:val="24"/>
        </w:rPr>
        <w:t>por lo que con el de cuenta y anexos se ordena correr traslado a su contraria para los efectos precisados en el numeral 158 de la Ley de la materia.</w:t>
      </w:r>
      <w:r w:rsidRPr="00D63950">
        <w:rPr>
          <w:rFonts w:ascii="Arial" w:hAnsi="Arial" w:cs="Arial"/>
          <w:color w:val="000000"/>
          <w:sz w:val="26"/>
          <w:szCs w:val="26"/>
        </w:rPr>
        <w:t>”</w:t>
      </w:r>
      <w:r>
        <w:rPr>
          <w:rFonts w:ascii="Arial" w:hAnsi="Arial" w:cs="Arial"/>
          <w:color w:val="000000"/>
          <w:sz w:val="26"/>
          <w:szCs w:val="26"/>
        </w:rPr>
        <w:t>.</w:t>
      </w:r>
    </w:p>
    <w:p w:rsidR="00DA6B1C" w:rsidRDefault="00DA6B1C" w:rsidP="00DA6B1C">
      <w:pPr>
        <w:spacing w:before="240" w:line="360" w:lineRule="auto"/>
        <w:ind w:firstLine="708"/>
        <w:jc w:val="both"/>
        <w:rPr>
          <w:rFonts w:ascii="Arial" w:hAnsi="Arial" w:cs="Arial"/>
          <w:sz w:val="26"/>
          <w:szCs w:val="26"/>
        </w:rPr>
      </w:pPr>
      <w:r>
        <w:rPr>
          <w:rFonts w:ascii="Arial" w:hAnsi="Arial" w:cs="Arial"/>
          <w:sz w:val="26"/>
          <w:szCs w:val="26"/>
        </w:rPr>
        <w:t>El artículo 236 de la Ley de Procedimiento y Justicia Administrativa para el Estado de Oaxaca; establece:</w:t>
      </w:r>
    </w:p>
    <w:p w:rsidR="00DA6B1C" w:rsidRPr="00A33339" w:rsidRDefault="00DA6B1C" w:rsidP="00DA6B1C">
      <w:pPr>
        <w:spacing w:before="240" w:line="360" w:lineRule="auto"/>
        <w:ind w:left="1134" w:right="778"/>
        <w:jc w:val="both"/>
        <w:rPr>
          <w:rFonts w:ascii="Arial" w:hAnsi="Arial" w:cs="Arial"/>
          <w:i/>
        </w:rPr>
      </w:pPr>
      <w:r w:rsidRPr="00A33339">
        <w:rPr>
          <w:rFonts w:ascii="Arial" w:hAnsi="Arial" w:cs="Arial"/>
        </w:rPr>
        <w:t>“</w:t>
      </w:r>
      <w:r w:rsidRPr="00A33339">
        <w:rPr>
          <w:rFonts w:ascii="Arial" w:hAnsi="Arial" w:cs="Arial"/>
          <w:b/>
          <w:i/>
        </w:rPr>
        <w:t>Artículo 236</w:t>
      </w:r>
      <w:r w:rsidRPr="00A33339">
        <w:rPr>
          <w:rFonts w:ascii="Arial" w:hAnsi="Arial" w:cs="Arial"/>
          <w:i/>
        </w:rPr>
        <w:t xml:space="preserve">.- Contra los acuerdos y resoluciones dictados por las salas unitarias de primera instancia, procede el recurso de revisión, cuyo conocimiento y resolución corresponde a la Sala Superior. </w:t>
      </w:r>
    </w:p>
    <w:p w:rsidR="00DA6B1C" w:rsidRPr="00A33339" w:rsidRDefault="00DA6B1C" w:rsidP="00DA6B1C">
      <w:pPr>
        <w:spacing w:line="360" w:lineRule="auto"/>
        <w:ind w:left="1134" w:right="778"/>
        <w:jc w:val="both"/>
        <w:rPr>
          <w:rFonts w:ascii="Arial" w:hAnsi="Arial" w:cs="Arial"/>
          <w:i/>
        </w:rPr>
      </w:pPr>
      <w:r w:rsidRPr="00A33339">
        <w:rPr>
          <w:rFonts w:ascii="Arial" w:hAnsi="Arial" w:cs="Arial"/>
          <w:i/>
        </w:rPr>
        <w:t>Podrán ser impugnados por las partes, mediante recurso de revisión:</w:t>
      </w:r>
    </w:p>
    <w:p w:rsidR="00DA6B1C" w:rsidRPr="00A33339" w:rsidRDefault="00DA6B1C" w:rsidP="00DA6B1C">
      <w:pPr>
        <w:spacing w:line="360" w:lineRule="auto"/>
        <w:ind w:left="1134" w:right="778"/>
        <w:jc w:val="both"/>
        <w:rPr>
          <w:rFonts w:ascii="Arial" w:hAnsi="Arial" w:cs="Arial"/>
          <w:i/>
          <w:lang w:val="es-MX"/>
        </w:rPr>
      </w:pPr>
      <w:r w:rsidRPr="00A33339">
        <w:rPr>
          <w:rFonts w:ascii="Arial" w:hAnsi="Arial" w:cs="Arial"/>
          <w:i/>
        </w:rPr>
        <w:t xml:space="preserve">I. </w:t>
      </w:r>
      <w:r w:rsidRPr="00A33339">
        <w:rPr>
          <w:rFonts w:ascii="Arial" w:hAnsi="Arial" w:cs="Arial"/>
          <w:i/>
          <w:lang w:val="es-MX"/>
        </w:rPr>
        <w:t>Los acuerdos que admitan o desechen la demanda, su contestación o ampliación;</w:t>
      </w:r>
    </w:p>
    <w:p w:rsidR="00DA6B1C" w:rsidRPr="00A33339" w:rsidRDefault="00DA6B1C" w:rsidP="00DA6B1C">
      <w:pPr>
        <w:spacing w:line="360" w:lineRule="auto"/>
        <w:ind w:left="851" w:right="778" w:firstLine="283"/>
        <w:jc w:val="both"/>
        <w:rPr>
          <w:rFonts w:ascii="Arial" w:hAnsi="Arial" w:cs="Arial"/>
          <w:i/>
          <w:lang w:val="es-MX"/>
        </w:rPr>
      </w:pPr>
      <w:r w:rsidRPr="00A33339">
        <w:rPr>
          <w:rFonts w:ascii="Arial" w:hAnsi="Arial" w:cs="Arial"/>
          <w:i/>
          <w:lang w:val="es-MX"/>
        </w:rPr>
        <w:t>II. El acuerdo que deseche pruebas;</w:t>
      </w:r>
    </w:p>
    <w:p w:rsidR="00DA6B1C" w:rsidRPr="00A33339" w:rsidRDefault="00DA6B1C" w:rsidP="00DA6B1C">
      <w:pPr>
        <w:spacing w:line="360" w:lineRule="auto"/>
        <w:ind w:left="851" w:right="778" w:firstLine="283"/>
        <w:jc w:val="both"/>
        <w:rPr>
          <w:rFonts w:ascii="Arial" w:hAnsi="Arial" w:cs="Arial"/>
          <w:i/>
          <w:lang w:val="es-MX"/>
        </w:rPr>
      </w:pPr>
      <w:r w:rsidRPr="00A33339">
        <w:rPr>
          <w:rFonts w:ascii="Arial" w:hAnsi="Arial" w:cs="Arial"/>
          <w:i/>
          <w:lang w:val="es-MX"/>
        </w:rPr>
        <w:lastRenderedPageBreak/>
        <w:t>III. El acuerdo que rechace la intervención del tercero;</w:t>
      </w:r>
    </w:p>
    <w:p w:rsidR="00DA6B1C" w:rsidRPr="00A33339" w:rsidRDefault="00DA6B1C" w:rsidP="00DA6B1C">
      <w:pPr>
        <w:spacing w:line="360" w:lineRule="auto"/>
        <w:ind w:left="1134" w:right="778"/>
        <w:jc w:val="both"/>
        <w:rPr>
          <w:rFonts w:ascii="Arial" w:hAnsi="Arial" w:cs="Arial"/>
          <w:i/>
          <w:lang w:val="es-MX"/>
        </w:rPr>
      </w:pPr>
      <w:r w:rsidRPr="00A33339">
        <w:rPr>
          <w:rFonts w:ascii="Arial" w:hAnsi="Arial" w:cs="Arial"/>
          <w:i/>
          <w:lang w:val="es-MX"/>
        </w:rPr>
        <w:t>IV. Los acuerdos que decreten, nieguen o revoquen la suspensión;</w:t>
      </w:r>
    </w:p>
    <w:p w:rsidR="00DA6B1C" w:rsidRPr="00A33339" w:rsidRDefault="00DA6B1C" w:rsidP="00DA6B1C">
      <w:pPr>
        <w:spacing w:line="360" w:lineRule="auto"/>
        <w:ind w:left="1134" w:right="778"/>
        <w:jc w:val="both"/>
        <w:rPr>
          <w:rFonts w:ascii="Arial" w:hAnsi="Arial" w:cs="Arial"/>
          <w:i/>
          <w:lang w:val="es-MX"/>
        </w:rPr>
      </w:pPr>
      <w:r w:rsidRPr="00A33339">
        <w:rPr>
          <w:rFonts w:ascii="Arial" w:hAnsi="Arial" w:cs="Arial"/>
          <w:i/>
          <w:lang w:val="es-MX"/>
        </w:rPr>
        <w:t>V. Las resoluciones que decidan incidentes a que se refiere el artículo 224 de esta Ley;</w:t>
      </w:r>
    </w:p>
    <w:p w:rsidR="00DA6B1C" w:rsidRPr="00A33339" w:rsidRDefault="00DA6B1C" w:rsidP="00DA6B1C">
      <w:pPr>
        <w:spacing w:line="360" w:lineRule="auto"/>
        <w:ind w:left="1134" w:right="778"/>
        <w:jc w:val="both"/>
        <w:rPr>
          <w:rFonts w:ascii="Arial" w:hAnsi="Arial" w:cs="Arial"/>
          <w:i/>
          <w:lang w:val="es-MX"/>
        </w:rPr>
      </w:pPr>
      <w:r w:rsidRPr="00A33339">
        <w:rPr>
          <w:rFonts w:ascii="Arial" w:hAnsi="Arial" w:cs="Arial"/>
          <w:i/>
          <w:lang w:val="es-MX"/>
        </w:rPr>
        <w:t>VI. Las resoluciones que decreten o nieguen el sobreseimiento;</w:t>
      </w:r>
    </w:p>
    <w:p w:rsidR="00DA6B1C" w:rsidRPr="00A33339" w:rsidRDefault="00DA6B1C" w:rsidP="00DA6B1C">
      <w:pPr>
        <w:spacing w:line="360" w:lineRule="auto"/>
        <w:ind w:left="851" w:right="778" w:firstLine="283"/>
        <w:jc w:val="both"/>
        <w:rPr>
          <w:rFonts w:ascii="Arial" w:hAnsi="Arial" w:cs="Arial"/>
          <w:i/>
          <w:lang w:val="es-MX"/>
        </w:rPr>
      </w:pPr>
      <w:r w:rsidRPr="00A33339">
        <w:rPr>
          <w:rFonts w:ascii="Arial" w:hAnsi="Arial" w:cs="Arial"/>
          <w:i/>
          <w:lang w:val="es-MX"/>
        </w:rPr>
        <w:t>VII. Las sentencias que decidan la cuestión planteada;</w:t>
      </w:r>
    </w:p>
    <w:p w:rsidR="00DA6B1C" w:rsidRPr="00A33339" w:rsidRDefault="00DA6B1C" w:rsidP="00DA6B1C">
      <w:pPr>
        <w:spacing w:line="360" w:lineRule="auto"/>
        <w:ind w:left="1134" w:right="778"/>
        <w:jc w:val="both"/>
        <w:rPr>
          <w:rFonts w:ascii="Arial" w:hAnsi="Arial" w:cs="Arial"/>
          <w:i/>
          <w:lang w:val="es-MX"/>
        </w:rPr>
      </w:pPr>
      <w:r w:rsidRPr="00A33339">
        <w:rPr>
          <w:rFonts w:ascii="Arial" w:hAnsi="Arial" w:cs="Arial"/>
          <w:i/>
          <w:lang w:val="es-MX"/>
        </w:rPr>
        <w:t>VIII. Por violaciones cometidas durante el procedimiento del juicio, cuando hayan dejado sin defensa al recurrente y trasciendan al sentido de la sentencia; y</w:t>
      </w:r>
    </w:p>
    <w:p w:rsidR="00DA6B1C" w:rsidRPr="00A33339" w:rsidRDefault="00DA6B1C" w:rsidP="00DA6B1C">
      <w:pPr>
        <w:spacing w:line="360" w:lineRule="auto"/>
        <w:ind w:left="1134" w:right="778"/>
        <w:jc w:val="both"/>
        <w:rPr>
          <w:rFonts w:ascii="Arial" w:hAnsi="Arial" w:cs="Arial"/>
          <w:lang w:val="es-MX"/>
        </w:rPr>
      </w:pPr>
      <w:r w:rsidRPr="00A33339">
        <w:rPr>
          <w:rFonts w:ascii="Arial" w:hAnsi="Arial" w:cs="Arial"/>
          <w:i/>
          <w:lang w:val="es-MX"/>
        </w:rPr>
        <w:t>VIII. Las resoluciones que pongan fin al procedimiento de ejecución de la sentencia.</w:t>
      </w:r>
      <w:r w:rsidRPr="00A33339">
        <w:rPr>
          <w:rFonts w:ascii="Arial" w:hAnsi="Arial" w:cs="Arial"/>
          <w:lang w:val="es-MX"/>
        </w:rPr>
        <w:t>”</w:t>
      </w:r>
    </w:p>
    <w:p w:rsidR="00DA6B1C" w:rsidRDefault="00DA6B1C" w:rsidP="00DA6B1C">
      <w:pPr>
        <w:spacing w:before="240" w:line="360" w:lineRule="auto"/>
        <w:ind w:firstLine="708"/>
        <w:jc w:val="both"/>
        <w:rPr>
          <w:rFonts w:ascii="Arial" w:hAnsi="Arial" w:cs="Arial"/>
          <w:color w:val="000000"/>
          <w:sz w:val="26"/>
          <w:szCs w:val="26"/>
        </w:rPr>
      </w:pPr>
      <w:r>
        <w:rPr>
          <w:rFonts w:ascii="Arial" w:hAnsi="Arial" w:cs="Arial"/>
          <w:bCs/>
          <w:sz w:val="26"/>
          <w:szCs w:val="26"/>
        </w:rPr>
        <w:t xml:space="preserve">Ahora, si bien en el auto materia de revisión se tuvo a la autoridad demandada contestando la demanda entablada en su contra, coincidiendo tal determinación en lo dispuesto por la fracción I, del artículo 236 arriba citado; </w:t>
      </w:r>
      <w:r w:rsidRPr="00C00B07">
        <w:rPr>
          <w:rFonts w:ascii="Arial" w:hAnsi="Arial" w:cs="Arial"/>
          <w:b/>
          <w:bCs/>
          <w:sz w:val="26"/>
          <w:szCs w:val="26"/>
        </w:rPr>
        <w:t>sin embargo</w:t>
      </w:r>
      <w:r>
        <w:rPr>
          <w:rFonts w:ascii="Arial" w:hAnsi="Arial" w:cs="Arial"/>
          <w:bCs/>
          <w:sz w:val="26"/>
          <w:szCs w:val="26"/>
        </w:rPr>
        <w:t>, la determinación de la que se duele el recurrente, lo es aquella en la que se tuvo por admitidas las pruebas de la demandada</w:t>
      </w:r>
      <w:r>
        <w:rPr>
          <w:rFonts w:ascii="Arial" w:hAnsi="Arial" w:cs="Arial"/>
          <w:color w:val="000000"/>
          <w:sz w:val="26"/>
          <w:szCs w:val="26"/>
        </w:rPr>
        <w:t xml:space="preserve">; la cual como </w:t>
      </w:r>
      <w:r>
        <w:rPr>
          <w:rFonts w:ascii="Arial" w:hAnsi="Arial" w:cs="Arial"/>
          <w:bCs/>
          <w:sz w:val="26"/>
          <w:szCs w:val="26"/>
        </w:rPr>
        <w:t xml:space="preserve">se ve de la transcripción anterior </w:t>
      </w:r>
      <w:r w:rsidRPr="00C00B07">
        <w:rPr>
          <w:rFonts w:ascii="Arial" w:hAnsi="Arial" w:cs="Arial"/>
          <w:b/>
          <w:bCs/>
          <w:sz w:val="26"/>
          <w:szCs w:val="26"/>
        </w:rPr>
        <w:t>resulta</w:t>
      </w:r>
      <w:r>
        <w:rPr>
          <w:rFonts w:ascii="Arial" w:hAnsi="Arial" w:cs="Arial"/>
          <w:bCs/>
          <w:sz w:val="26"/>
          <w:szCs w:val="26"/>
        </w:rPr>
        <w:t xml:space="preserve"> </w:t>
      </w:r>
      <w:r w:rsidRPr="00C00B07">
        <w:rPr>
          <w:rFonts w:ascii="Arial" w:hAnsi="Arial" w:cs="Arial"/>
          <w:b/>
          <w:bCs/>
          <w:sz w:val="26"/>
          <w:szCs w:val="26"/>
        </w:rPr>
        <w:t>improcedente</w:t>
      </w:r>
      <w:r>
        <w:rPr>
          <w:rFonts w:ascii="Arial" w:hAnsi="Arial" w:cs="Arial"/>
          <w:bCs/>
          <w:sz w:val="26"/>
          <w:szCs w:val="26"/>
        </w:rPr>
        <w:t>, porque no encuadra en ninguna de las hipótesis previstas en el mencionado artículo para su revisión en esta instancia.</w:t>
      </w:r>
    </w:p>
    <w:p w:rsidR="00DA6B1C" w:rsidRDefault="00DA6B1C" w:rsidP="00DA6B1C">
      <w:pPr>
        <w:spacing w:line="360" w:lineRule="auto"/>
        <w:ind w:firstLine="709"/>
        <w:jc w:val="both"/>
        <w:rPr>
          <w:rFonts w:ascii="Arial" w:hAnsi="Arial" w:cs="Arial"/>
          <w:sz w:val="26"/>
          <w:szCs w:val="26"/>
        </w:rPr>
      </w:pPr>
      <w:r>
        <w:rPr>
          <w:rFonts w:ascii="Arial" w:hAnsi="Arial" w:cs="Arial"/>
          <w:color w:val="000000"/>
          <w:sz w:val="26"/>
          <w:szCs w:val="26"/>
        </w:rPr>
        <w:t xml:space="preserve">Por </w:t>
      </w:r>
      <w:r>
        <w:rPr>
          <w:rFonts w:ascii="Arial" w:hAnsi="Arial" w:cs="Arial"/>
          <w:bCs/>
          <w:sz w:val="26"/>
          <w:szCs w:val="26"/>
        </w:rPr>
        <w:t xml:space="preserve">lo que, en atención a lo expuesto, </w:t>
      </w:r>
      <w:r>
        <w:rPr>
          <w:rFonts w:ascii="Arial" w:hAnsi="Arial" w:cs="Arial"/>
          <w:sz w:val="26"/>
          <w:szCs w:val="26"/>
        </w:rPr>
        <w:t xml:space="preserve">con fundamento en el aludido artículo 236 y diverso 238 de la Ley que rige a este Tribunal, se </w:t>
      </w:r>
      <w:r w:rsidRPr="009226AC">
        <w:rPr>
          <w:rFonts w:ascii="Arial" w:hAnsi="Arial" w:cs="Arial"/>
          <w:b/>
          <w:sz w:val="26"/>
          <w:szCs w:val="26"/>
        </w:rPr>
        <w:t xml:space="preserve">DESECHA </w:t>
      </w:r>
      <w:r>
        <w:rPr>
          <w:rFonts w:ascii="Arial" w:hAnsi="Arial" w:cs="Arial"/>
          <w:sz w:val="26"/>
          <w:szCs w:val="26"/>
        </w:rPr>
        <w:t xml:space="preserve">por </w:t>
      </w:r>
      <w:r w:rsidRPr="002D18AB">
        <w:rPr>
          <w:rFonts w:ascii="Arial" w:hAnsi="Arial" w:cs="Arial"/>
          <w:b/>
          <w:sz w:val="26"/>
          <w:szCs w:val="26"/>
        </w:rPr>
        <w:t xml:space="preserve">IMPROCEDENTE </w:t>
      </w:r>
      <w:r>
        <w:rPr>
          <w:rFonts w:ascii="Arial" w:hAnsi="Arial" w:cs="Arial"/>
          <w:sz w:val="26"/>
          <w:szCs w:val="26"/>
        </w:rPr>
        <w:t xml:space="preserve">el recurso de revisión interpuesto por el actor </w:t>
      </w:r>
      <w:r w:rsidR="00365BA8">
        <w:rPr>
          <w:rFonts w:ascii="Arial" w:hAnsi="Arial" w:cs="Arial"/>
          <w:b/>
          <w:sz w:val="26"/>
          <w:szCs w:val="26"/>
        </w:rPr>
        <w:t>**********</w:t>
      </w:r>
      <w:r>
        <w:rPr>
          <w:rFonts w:ascii="Arial" w:hAnsi="Arial" w:cs="Arial"/>
          <w:sz w:val="26"/>
          <w:szCs w:val="26"/>
        </w:rPr>
        <w:t xml:space="preserve">, </w:t>
      </w:r>
      <w:r w:rsidRPr="0070243B">
        <w:rPr>
          <w:rFonts w:ascii="Arial" w:hAnsi="Arial" w:cs="Arial"/>
          <w:sz w:val="26"/>
          <w:szCs w:val="26"/>
        </w:rPr>
        <w:t>en c</w:t>
      </w:r>
      <w:r>
        <w:rPr>
          <w:rFonts w:ascii="Arial" w:hAnsi="Arial" w:cs="Arial"/>
          <w:sz w:val="26"/>
          <w:szCs w:val="26"/>
        </w:rPr>
        <w:t>ontra de la parte relativa del auto de veintiocho de noviembre de dos mil dieciocho.</w:t>
      </w:r>
    </w:p>
    <w:p w:rsidR="00DA6B1C" w:rsidRDefault="00DA6B1C" w:rsidP="00DA6B1C">
      <w:pPr>
        <w:spacing w:line="360" w:lineRule="auto"/>
        <w:ind w:firstLine="708"/>
        <w:jc w:val="both"/>
        <w:rPr>
          <w:rFonts w:ascii="Arial" w:hAnsi="Arial" w:cs="Arial"/>
          <w:sz w:val="26"/>
          <w:szCs w:val="26"/>
        </w:rPr>
      </w:pPr>
      <w:r>
        <w:rPr>
          <w:rFonts w:ascii="Arial" w:hAnsi="Arial" w:cs="Arial"/>
          <w:sz w:val="26"/>
          <w:szCs w:val="26"/>
        </w:rPr>
        <w:t>En mérito de lo anterior, con fundamento en los artículos 237 y 238 de la Ley de Procedimiento y Justicia Administrativa para el Estado de Oaxaca, se:</w:t>
      </w:r>
    </w:p>
    <w:p w:rsidR="00DA6B1C" w:rsidRDefault="00DA6B1C" w:rsidP="00DA6B1C">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DA6B1C" w:rsidRDefault="00DA6B1C" w:rsidP="00DA6B1C">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rPr>
        <w:t xml:space="preserve">. Se </w:t>
      </w:r>
      <w:r w:rsidRPr="00EE4606">
        <w:rPr>
          <w:rFonts w:ascii="Arial" w:hAnsi="Arial" w:cs="Arial"/>
          <w:b/>
          <w:sz w:val="26"/>
          <w:szCs w:val="26"/>
        </w:rPr>
        <w:t>DESECHA</w:t>
      </w:r>
      <w:r>
        <w:rPr>
          <w:rFonts w:ascii="Arial" w:hAnsi="Arial" w:cs="Arial"/>
          <w:sz w:val="26"/>
          <w:szCs w:val="26"/>
        </w:rPr>
        <w:t xml:space="preserve"> por </w:t>
      </w:r>
      <w:r>
        <w:rPr>
          <w:rFonts w:ascii="Arial" w:hAnsi="Arial" w:cs="Arial"/>
          <w:b/>
          <w:sz w:val="26"/>
          <w:szCs w:val="26"/>
        </w:rPr>
        <w:t xml:space="preserve">IMPROCEDENTE </w:t>
      </w:r>
      <w:r>
        <w:rPr>
          <w:rFonts w:ascii="Arial" w:hAnsi="Arial" w:cs="Arial"/>
          <w:sz w:val="26"/>
          <w:szCs w:val="26"/>
        </w:rPr>
        <w:t>el recurso de revisión interpuesto, por las razones expuestas en el considerando que antecede.</w:t>
      </w:r>
    </w:p>
    <w:p w:rsidR="00DA6B1C" w:rsidRDefault="00DA6B1C" w:rsidP="00DA6B1C">
      <w:pPr>
        <w:pStyle w:val="Sinespaciado"/>
        <w:spacing w:before="240" w:after="240" w:line="360" w:lineRule="auto"/>
        <w:ind w:firstLine="708"/>
        <w:jc w:val="both"/>
        <w:rPr>
          <w:rFonts w:ascii="Arial" w:hAnsi="Arial" w:cs="Arial"/>
          <w:sz w:val="26"/>
          <w:szCs w:val="26"/>
        </w:rPr>
      </w:pPr>
      <w:r>
        <w:rPr>
          <w:rFonts w:ascii="Arial" w:hAnsi="Arial" w:cs="Arial"/>
          <w:b/>
          <w:sz w:val="26"/>
          <w:szCs w:val="26"/>
        </w:rPr>
        <w:lastRenderedPageBreak/>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remítase copia certificada de la presente resolución a la Primera Sala Unitaria de Primera Instancia de este Tribunal y en su oportunidad archívese el presente cuaderno de revisión como asunto concluido.</w:t>
      </w:r>
    </w:p>
    <w:p w:rsidR="00866172" w:rsidRDefault="00866172" w:rsidP="00E05B32">
      <w:pPr>
        <w:spacing w:after="120" w:line="360" w:lineRule="auto"/>
        <w:ind w:left="142" w:firstLine="566"/>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E05B32" w:rsidRDefault="00E05B32" w:rsidP="00A33339">
      <w:pPr>
        <w:spacing w:after="120" w:line="360" w:lineRule="auto"/>
        <w:jc w:val="both"/>
        <w:rPr>
          <w:rFonts w:ascii="Arial" w:eastAsia="Times New Roman" w:hAnsi="Arial" w:cs="Arial"/>
          <w:sz w:val="26"/>
          <w:szCs w:val="26"/>
          <w:lang w:eastAsia="es-MX"/>
        </w:rPr>
      </w:pPr>
    </w:p>
    <w:p w:rsidR="00E05B32" w:rsidRDefault="00E05B32" w:rsidP="0032387B">
      <w:pPr>
        <w:spacing w:after="0" w:line="240" w:lineRule="auto"/>
        <w:jc w:val="center"/>
        <w:rPr>
          <w:rFonts w:ascii="Arial" w:hAnsi="Arial" w:cs="Arial"/>
          <w:sz w:val="26"/>
          <w:szCs w:val="26"/>
        </w:rPr>
      </w:pPr>
    </w:p>
    <w:p w:rsidR="00866172" w:rsidRPr="00E05B32" w:rsidRDefault="00866172" w:rsidP="0032387B">
      <w:pPr>
        <w:spacing w:after="0" w:line="240" w:lineRule="auto"/>
        <w:jc w:val="center"/>
        <w:rPr>
          <w:rFonts w:ascii="Arial" w:hAnsi="Arial" w:cs="Arial"/>
          <w:sz w:val="26"/>
          <w:szCs w:val="26"/>
        </w:rPr>
      </w:pPr>
      <w:r w:rsidRPr="00E05B32">
        <w:rPr>
          <w:rFonts w:ascii="Arial" w:hAnsi="Arial" w:cs="Arial"/>
          <w:sz w:val="26"/>
          <w:szCs w:val="26"/>
        </w:rPr>
        <w:t>MAGISTRADO ADRIÁN QUIROGA AVENDAÑO.</w:t>
      </w:r>
    </w:p>
    <w:p w:rsidR="00866172" w:rsidRPr="00E05B32" w:rsidRDefault="00866172" w:rsidP="0032387B">
      <w:pPr>
        <w:spacing w:after="0" w:line="240" w:lineRule="auto"/>
        <w:jc w:val="center"/>
        <w:rPr>
          <w:rFonts w:ascii="Arial" w:hAnsi="Arial" w:cs="Arial"/>
          <w:sz w:val="26"/>
          <w:szCs w:val="26"/>
        </w:rPr>
      </w:pPr>
      <w:r w:rsidRPr="00E05B32">
        <w:rPr>
          <w:rFonts w:ascii="Arial" w:hAnsi="Arial" w:cs="Arial"/>
          <w:sz w:val="26"/>
          <w:szCs w:val="26"/>
        </w:rPr>
        <w:t>PRESIDENTE</w:t>
      </w:r>
    </w:p>
    <w:p w:rsidR="00E05B32" w:rsidRPr="00E05B32" w:rsidRDefault="00E05B32" w:rsidP="0032387B">
      <w:pPr>
        <w:spacing w:after="0" w:line="240" w:lineRule="auto"/>
        <w:jc w:val="center"/>
        <w:rPr>
          <w:rFonts w:ascii="Arial" w:hAnsi="Arial" w:cs="Arial"/>
          <w:sz w:val="26"/>
          <w:szCs w:val="26"/>
        </w:rPr>
      </w:pPr>
    </w:p>
    <w:p w:rsidR="00E05B32" w:rsidRPr="00E05B32" w:rsidRDefault="00E05B32" w:rsidP="0032387B">
      <w:pPr>
        <w:spacing w:after="0" w:line="240" w:lineRule="auto"/>
        <w:jc w:val="center"/>
        <w:rPr>
          <w:rFonts w:ascii="Arial" w:hAnsi="Arial" w:cs="Arial"/>
          <w:sz w:val="26"/>
          <w:szCs w:val="26"/>
        </w:rPr>
      </w:pPr>
    </w:p>
    <w:p w:rsidR="00E05B32" w:rsidRDefault="00E05B32" w:rsidP="0032387B">
      <w:pPr>
        <w:spacing w:after="0" w:line="240" w:lineRule="auto"/>
        <w:jc w:val="center"/>
        <w:rPr>
          <w:rFonts w:ascii="Arial" w:hAnsi="Arial" w:cs="Arial"/>
          <w:sz w:val="26"/>
          <w:szCs w:val="26"/>
        </w:rPr>
      </w:pPr>
    </w:p>
    <w:p w:rsidR="00E05B32" w:rsidRDefault="00E05B32" w:rsidP="00A33339">
      <w:pPr>
        <w:spacing w:after="0" w:line="240" w:lineRule="auto"/>
        <w:rPr>
          <w:rFonts w:ascii="Arial" w:hAnsi="Arial" w:cs="Arial"/>
          <w:sz w:val="26"/>
          <w:szCs w:val="26"/>
        </w:rPr>
      </w:pPr>
    </w:p>
    <w:p w:rsidR="00E05B32" w:rsidRDefault="00E05B32" w:rsidP="0032387B">
      <w:pPr>
        <w:spacing w:after="0" w:line="240" w:lineRule="auto"/>
        <w:jc w:val="center"/>
        <w:rPr>
          <w:rFonts w:ascii="Arial" w:hAnsi="Arial" w:cs="Arial"/>
          <w:b/>
          <w:sz w:val="26"/>
          <w:szCs w:val="26"/>
        </w:rPr>
      </w:pPr>
    </w:p>
    <w:p w:rsidR="00E05B32" w:rsidRDefault="00E05B32" w:rsidP="0032387B">
      <w:pPr>
        <w:spacing w:after="0" w:line="240" w:lineRule="auto"/>
        <w:jc w:val="center"/>
        <w:rPr>
          <w:rFonts w:ascii="Arial" w:hAnsi="Arial" w:cs="Arial"/>
          <w:b/>
          <w:sz w:val="26"/>
          <w:szCs w:val="26"/>
        </w:rPr>
      </w:pPr>
    </w:p>
    <w:p w:rsidR="00866172" w:rsidRDefault="00866172" w:rsidP="007E4639">
      <w:pPr>
        <w:spacing w:after="0" w:line="360" w:lineRule="auto"/>
        <w:jc w:val="center"/>
        <w:rPr>
          <w:rFonts w:ascii="Arial" w:hAnsi="Arial" w:cs="Arial"/>
          <w:sz w:val="26"/>
          <w:szCs w:val="26"/>
        </w:rPr>
      </w:pPr>
      <w:r>
        <w:rPr>
          <w:rFonts w:ascii="Arial" w:hAnsi="Arial" w:cs="Arial"/>
          <w:sz w:val="26"/>
          <w:szCs w:val="26"/>
        </w:rPr>
        <w:t>MAGISTRADO HUGO VILLEGAS AQUINO.</w:t>
      </w:r>
    </w:p>
    <w:p w:rsidR="00E05B32" w:rsidRDefault="00E05B32" w:rsidP="007E4639">
      <w:pPr>
        <w:spacing w:after="0" w:line="360" w:lineRule="auto"/>
        <w:jc w:val="center"/>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E05B32" w:rsidRDefault="00E05B32" w:rsidP="00A33339">
      <w:pPr>
        <w:spacing w:after="0" w:line="360" w:lineRule="auto"/>
        <w:rPr>
          <w:rFonts w:ascii="Arial" w:hAnsi="Arial" w:cs="Arial"/>
          <w:sz w:val="26"/>
          <w:szCs w:val="26"/>
        </w:rPr>
      </w:pPr>
    </w:p>
    <w:p w:rsidR="00866172" w:rsidRDefault="00866172" w:rsidP="007E4639">
      <w:pPr>
        <w:spacing w:after="0" w:line="360" w:lineRule="auto"/>
        <w:jc w:val="center"/>
        <w:rPr>
          <w:rFonts w:ascii="Arial" w:hAnsi="Arial" w:cs="Arial"/>
          <w:sz w:val="26"/>
          <w:szCs w:val="26"/>
        </w:rPr>
      </w:pPr>
      <w:r>
        <w:rPr>
          <w:rFonts w:ascii="Arial" w:hAnsi="Arial" w:cs="Arial"/>
          <w:sz w:val="26"/>
          <w:szCs w:val="26"/>
        </w:rPr>
        <w:t>MAGISTRADO ENRIQUE PACHECO MARTÍNEZ.</w:t>
      </w:r>
    </w:p>
    <w:p w:rsidR="00E05B32" w:rsidRDefault="00E05B32" w:rsidP="007E4639">
      <w:pPr>
        <w:spacing w:after="0" w:line="360" w:lineRule="auto"/>
        <w:jc w:val="center"/>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866172" w:rsidRDefault="00866172" w:rsidP="007E4639">
      <w:pPr>
        <w:spacing w:after="0" w:line="360" w:lineRule="auto"/>
        <w:jc w:val="center"/>
        <w:rPr>
          <w:rFonts w:ascii="Arial" w:hAnsi="Arial" w:cs="Arial"/>
          <w:sz w:val="26"/>
          <w:szCs w:val="26"/>
        </w:rPr>
      </w:pPr>
      <w:r>
        <w:rPr>
          <w:rFonts w:ascii="Arial" w:hAnsi="Arial" w:cs="Arial"/>
          <w:sz w:val="26"/>
          <w:szCs w:val="26"/>
        </w:rPr>
        <w:t>MAGISTRADA MARÍA ELENA VILLA DE JARQUÍN</w:t>
      </w:r>
    </w:p>
    <w:p w:rsidR="00E05B32" w:rsidRDefault="00E05B32" w:rsidP="007E4639">
      <w:pPr>
        <w:spacing w:after="0" w:line="360" w:lineRule="auto"/>
        <w:jc w:val="center"/>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866172" w:rsidRDefault="00866172" w:rsidP="007E4639">
      <w:pPr>
        <w:spacing w:after="0"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E05B32" w:rsidRDefault="00E05B32" w:rsidP="007E4639">
      <w:pPr>
        <w:spacing w:after="0" w:line="360" w:lineRule="auto"/>
        <w:jc w:val="center"/>
        <w:rPr>
          <w:rFonts w:ascii="Arial" w:eastAsia="Times New Roman" w:hAnsi="Arial" w:cs="Arial"/>
          <w:sz w:val="26"/>
          <w:szCs w:val="26"/>
          <w:lang w:eastAsia="es-MX"/>
        </w:rPr>
      </w:pPr>
    </w:p>
    <w:p w:rsidR="00E05B32" w:rsidRDefault="00E05B32" w:rsidP="007E4639">
      <w:pPr>
        <w:spacing w:after="0" w:line="360" w:lineRule="auto"/>
        <w:jc w:val="center"/>
        <w:rPr>
          <w:rFonts w:ascii="Arial" w:eastAsia="Times New Roman" w:hAnsi="Arial" w:cs="Arial"/>
          <w:sz w:val="26"/>
          <w:szCs w:val="26"/>
          <w:lang w:eastAsia="es-MX"/>
        </w:rPr>
      </w:pPr>
    </w:p>
    <w:p w:rsidR="00E05B32" w:rsidRDefault="00E05B32" w:rsidP="00A33339">
      <w:pPr>
        <w:spacing w:after="0" w:line="360" w:lineRule="auto"/>
        <w:rPr>
          <w:rFonts w:ascii="Arial" w:eastAsia="Times New Roman" w:hAnsi="Arial" w:cs="Arial"/>
          <w:sz w:val="26"/>
          <w:szCs w:val="26"/>
          <w:lang w:eastAsia="es-MX"/>
        </w:rPr>
      </w:pPr>
    </w:p>
    <w:p w:rsidR="00E05B32" w:rsidRDefault="00E05B32" w:rsidP="007E4639">
      <w:pPr>
        <w:spacing w:after="0" w:line="360" w:lineRule="auto"/>
        <w:jc w:val="center"/>
        <w:rPr>
          <w:rFonts w:ascii="Arial" w:eastAsia="Times New Roman" w:hAnsi="Arial" w:cs="Arial"/>
          <w:sz w:val="26"/>
          <w:szCs w:val="26"/>
          <w:lang w:eastAsia="es-MX"/>
        </w:rPr>
      </w:pPr>
    </w:p>
    <w:p w:rsidR="00866172" w:rsidRDefault="00866172" w:rsidP="00E1260D">
      <w:pPr>
        <w:spacing w:after="0" w:line="240" w:lineRule="auto"/>
        <w:jc w:val="center"/>
        <w:rPr>
          <w:rFonts w:ascii="Arial" w:hAnsi="Arial" w:cs="Arial"/>
          <w:sz w:val="26"/>
          <w:szCs w:val="26"/>
        </w:rPr>
      </w:pPr>
      <w:r>
        <w:rPr>
          <w:rFonts w:ascii="Arial" w:hAnsi="Arial" w:cs="Arial"/>
          <w:sz w:val="26"/>
          <w:szCs w:val="26"/>
        </w:rPr>
        <w:t xml:space="preserve">LICENCIADA </w:t>
      </w:r>
      <w:r w:rsidR="00687AD5">
        <w:rPr>
          <w:rFonts w:ascii="Arial" w:hAnsi="Arial" w:cs="Arial"/>
          <w:sz w:val="26"/>
          <w:szCs w:val="26"/>
        </w:rPr>
        <w:t>LETICIA GARCIA SOTO.</w:t>
      </w:r>
    </w:p>
    <w:p w:rsidR="00BA554F" w:rsidRPr="00E05B32" w:rsidRDefault="00687AD5" w:rsidP="00086527">
      <w:pPr>
        <w:spacing w:after="0" w:line="240" w:lineRule="auto"/>
        <w:jc w:val="center"/>
      </w:pPr>
      <w:r w:rsidRPr="00E05B32">
        <w:rPr>
          <w:rFonts w:ascii="Arial" w:hAnsi="Arial" w:cs="Arial"/>
          <w:sz w:val="26"/>
          <w:szCs w:val="26"/>
        </w:rPr>
        <w:t xml:space="preserve">  </w:t>
      </w:r>
      <w:r w:rsidR="00866172" w:rsidRPr="00E05B32">
        <w:rPr>
          <w:rFonts w:ascii="Arial" w:hAnsi="Arial" w:cs="Arial"/>
          <w:sz w:val="26"/>
          <w:szCs w:val="26"/>
        </w:rPr>
        <w:t>SECRETARIA GENERAL DE ACUERDOS.</w:t>
      </w:r>
    </w:p>
    <w:sectPr w:rsidR="00BA554F" w:rsidRPr="00E05B32" w:rsidSect="00DF718C">
      <w:headerReference w:type="even" r:id="rId7"/>
      <w:headerReference w:type="default" r:id="rId8"/>
      <w:footerReference w:type="even" r:id="rId9"/>
      <w:footerReference w:type="default" r:id="rId10"/>
      <w:headerReference w:type="first" r:id="rId11"/>
      <w:footerReference w:type="first" r:id="rId12"/>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B67" w:rsidRDefault="00CC5B67">
      <w:pPr>
        <w:spacing w:after="0" w:line="240" w:lineRule="auto"/>
      </w:pPr>
      <w:r>
        <w:separator/>
      </w:r>
    </w:p>
  </w:endnote>
  <w:endnote w:type="continuationSeparator" w:id="0">
    <w:p w:rsidR="00CC5B67" w:rsidRDefault="00CC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C6F" w:rsidRDefault="003D4C6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C6F" w:rsidRDefault="003D4C6F">
    <w:pPr>
      <w:pStyle w:val="Piedepgina"/>
    </w:pPr>
    <w:r>
      <w:rPr>
        <w:noProof/>
        <w:lang w:val="es-MX" w:eastAsia="es-MX"/>
      </w:rPr>
      <w:drawing>
        <wp:anchor distT="0" distB="0" distL="114300" distR="114300" simplePos="0" relativeHeight="251672576" behindDoc="0" locked="0" layoutInCell="1" allowOverlap="1" wp14:anchorId="6BCEA606" wp14:editId="71C41F66">
          <wp:simplePos x="0" y="0"/>
          <wp:positionH relativeFrom="column">
            <wp:posOffset>-1205865</wp:posOffset>
          </wp:positionH>
          <wp:positionV relativeFrom="paragraph">
            <wp:posOffset>-4819650</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C6F" w:rsidRDefault="003D4C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B67" w:rsidRDefault="00CC5B67">
      <w:pPr>
        <w:spacing w:after="0" w:line="240" w:lineRule="auto"/>
      </w:pPr>
      <w:r>
        <w:separator/>
      </w:r>
    </w:p>
  </w:footnote>
  <w:footnote w:type="continuationSeparator" w:id="0">
    <w:p w:rsidR="00CC5B67" w:rsidRDefault="00CC5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3D4C6F">
          <w:rPr>
            <w:noProof/>
          </w:rPr>
          <w:t>2</w:t>
        </w:r>
        <w:r>
          <w:fldChar w:fldCharType="end"/>
        </w:r>
      </w:p>
    </w:sdtContent>
  </w:sdt>
  <w:p w:rsidR="00D2291D" w:rsidRDefault="003D4C6F">
    <w:pPr>
      <w:pStyle w:val="Encabezado"/>
    </w:pPr>
    <w:bookmarkStart w:id="0" w:name="_GoBack"/>
    <w:r>
      <w:rPr>
        <w:noProof/>
        <w:lang w:val="es-MX" w:eastAsia="es-MX"/>
      </w:rPr>
      <w:drawing>
        <wp:anchor distT="0" distB="0" distL="114300" distR="114300" simplePos="0" relativeHeight="251670528" behindDoc="0" locked="0" layoutInCell="1" allowOverlap="1" wp14:anchorId="40954D06" wp14:editId="3AB8BE0A">
          <wp:simplePos x="0" y="0"/>
          <wp:positionH relativeFrom="column">
            <wp:posOffset>5589270</wp:posOffset>
          </wp:positionH>
          <wp:positionV relativeFrom="paragraph">
            <wp:posOffset>4495165</wp:posOffset>
          </wp:positionV>
          <wp:extent cx="1188720" cy="1122045"/>
          <wp:effectExtent l="0" t="0" r="0" b="1905"/>
          <wp:wrapNone/>
          <wp:docPr id="4" name="Imagen 4"/>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3D4C6F">
          <w:rPr>
            <w:noProof/>
          </w:rPr>
          <w:t>1</w:t>
        </w:r>
        <w:r>
          <w:rPr>
            <w:noProof/>
          </w:rPr>
          <w:fldChar w:fldCharType="end"/>
        </w:r>
      </w:p>
      <w:p w:rsidR="00D2291D" w:rsidRDefault="00CC5B67" w:rsidP="00D2291D">
        <w:pPr>
          <w:pStyle w:val="Encabezado"/>
          <w:jc w:val="center"/>
        </w:pPr>
      </w:p>
    </w:sdtContent>
  </w:sdt>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52096" behindDoc="0" locked="0" layoutInCell="1" allowOverlap="1" wp14:anchorId="6C8A1A1F" wp14:editId="0918F646">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62336" behindDoc="1" locked="0" layoutInCell="1" allowOverlap="1" wp14:anchorId="1DAC9B32" wp14:editId="01CA96BF">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C6F" w:rsidRDefault="003D4C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11"/>
  </w:num>
  <w:num w:numId="4">
    <w:abstractNumId w:val="3"/>
  </w:num>
  <w:num w:numId="5">
    <w:abstractNumId w:val="10"/>
  </w:num>
  <w:num w:numId="6">
    <w:abstractNumId w:val="9"/>
  </w:num>
  <w:num w:numId="7">
    <w:abstractNumId w:val="5"/>
  </w:num>
  <w:num w:numId="8">
    <w:abstractNumId w:val="7"/>
  </w:num>
  <w:num w:numId="9">
    <w:abstractNumId w:val="6"/>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143FF"/>
    <w:rsid w:val="000175F4"/>
    <w:rsid w:val="00031FD4"/>
    <w:rsid w:val="000337D0"/>
    <w:rsid w:val="00034E53"/>
    <w:rsid w:val="00037B9D"/>
    <w:rsid w:val="0005764A"/>
    <w:rsid w:val="00073F89"/>
    <w:rsid w:val="00082E12"/>
    <w:rsid w:val="00085F3C"/>
    <w:rsid w:val="00086527"/>
    <w:rsid w:val="000951ED"/>
    <w:rsid w:val="00097282"/>
    <w:rsid w:val="000A00AD"/>
    <w:rsid w:val="000A021A"/>
    <w:rsid w:val="000A17B0"/>
    <w:rsid w:val="000A5861"/>
    <w:rsid w:val="000A6BF4"/>
    <w:rsid w:val="000B720D"/>
    <w:rsid w:val="000C6405"/>
    <w:rsid w:val="000D17CC"/>
    <w:rsid w:val="000D6BE5"/>
    <w:rsid w:val="000D6DCC"/>
    <w:rsid w:val="000E0C8E"/>
    <w:rsid w:val="000E14E6"/>
    <w:rsid w:val="000E2A31"/>
    <w:rsid w:val="000E5A26"/>
    <w:rsid w:val="000E79B0"/>
    <w:rsid w:val="000F7BA9"/>
    <w:rsid w:val="0011009A"/>
    <w:rsid w:val="00111134"/>
    <w:rsid w:val="00111A55"/>
    <w:rsid w:val="00113FD8"/>
    <w:rsid w:val="0011566B"/>
    <w:rsid w:val="00122A96"/>
    <w:rsid w:val="00132E1D"/>
    <w:rsid w:val="001555E0"/>
    <w:rsid w:val="0015681D"/>
    <w:rsid w:val="0015791C"/>
    <w:rsid w:val="00162807"/>
    <w:rsid w:val="00163553"/>
    <w:rsid w:val="001654B1"/>
    <w:rsid w:val="00190A10"/>
    <w:rsid w:val="001B28D3"/>
    <w:rsid w:val="001B3376"/>
    <w:rsid w:val="001C1517"/>
    <w:rsid w:val="001C1F2F"/>
    <w:rsid w:val="001C4D0F"/>
    <w:rsid w:val="001C78EB"/>
    <w:rsid w:val="001E09E7"/>
    <w:rsid w:val="001E63FB"/>
    <w:rsid w:val="001F2493"/>
    <w:rsid w:val="00200074"/>
    <w:rsid w:val="00203905"/>
    <w:rsid w:val="00206B6C"/>
    <w:rsid w:val="0021412A"/>
    <w:rsid w:val="0021676A"/>
    <w:rsid w:val="0022359F"/>
    <w:rsid w:val="00231B63"/>
    <w:rsid w:val="00240FBF"/>
    <w:rsid w:val="00260E7A"/>
    <w:rsid w:val="00263481"/>
    <w:rsid w:val="002746C6"/>
    <w:rsid w:val="00284E8E"/>
    <w:rsid w:val="002A4476"/>
    <w:rsid w:val="002A4B09"/>
    <w:rsid w:val="002C084F"/>
    <w:rsid w:val="002D25D0"/>
    <w:rsid w:val="002D355E"/>
    <w:rsid w:val="002D5CD9"/>
    <w:rsid w:val="002E452C"/>
    <w:rsid w:val="002F2948"/>
    <w:rsid w:val="002F6E99"/>
    <w:rsid w:val="003019A4"/>
    <w:rsid w:val="0030543F"/>
    <w:rsid w:val="0032387B"/>
    <w:rsid w:val="00326A65"/>
    <w:rsid w:val="00331B75"/>
    <w:rsid w:val="00334286"/>
    <w:rsid w:val="00355FDA"/>
    <w:rsid w:val="00357437"/>
    <w:rsid w:val="00365BA8"/>
    <w:rsid w:val="00367667"/>
    <w:rsid w:val="00370758"/>
    <w:rsid w:val="00380440"/>
    <w:rsid w:val="00380BF8"/>
    <w:rsid w:val="00384F6F"/>
    <w:rsid w:val="00387C61"/>
    <w:rsid w:val="00395B15"/>
    <w:rsid w:val="003B1B8F"/>
    <w:rsid w:val="003B6362"/>
    <w:rsid w:val="003D4C6F"/>
    <w:rsid w:val="003E431D"/>
    <w:rsid w:val="0040143C"/>
    <w:rsid w:val="00402396"/>
    <w:rsid w:val="004177B6"/>
    <w:rsid w:val="00422368"/>
    <w:rsid w:val="00434164"/>
    <w:rsid w:val="0043571B"/>
    <w:rsid w:val="0044686C"/>
    <w:rsid w:val="00454BB3"/>
    <w:rsid w:val="00463515"/>
    <w:rsid w:val="004661C8"/>
    <w:rsid w:val="00473052"/>
    <w:rsid w:val="0048479E"/>
    <w:rsid w:val="00492A65"/>
    <w:rsid w:val="004A4B22"/>
    <w:rsid w:val="004B3F26"/>
    <w:rsid w:val="004B5772"/>
    <w:rsid w:val="004B75EB"/>
    <w:rsid w:val="004C352A"/>
    <w:rsid w:val="004C4E2E"/>
    <w:rsid w:val="004D02DD"/>
    <w:rsid w:val="004D4778"/>
    <w:rsid w:val="004E0096"/>
    <w:rsid w:val="004E2DAC"/>
    <w:rsid w:val="004E4532"/>
    <w:rsid w:val="004E67BF"/>
    <w:rsid w:val="004F437C"/>
    <w:rsid w:val="0050077A"/>
    <w:rsid w:val="00506596"/>
    <w:rsid w:val="005104EB"/>
    <w:rsid w:val="00516E57"/>
    <w:rsid w:val="00521331"/>
    <w:rsid w:val="00525AC3"/>
    <w:rsid w:val="00526A51"/>
    <w:rsid w:val="00553703"/>
    <w:rsid w:val="005604E1"/>
    <w:rsid w:val="00562D5C"/>
    <w:rsid w:val="00571758"/>
    <w:rsid w:val="005902DF"/>
    <w:rsid w:val="00591877"/>
    <w:rsid w:val="0059427A"/>
    <w:rsid w:val="005A371D"/>
    <w:rsid w:val="005A4CC2"/>
    <w:rsid w:val="005A5A11"/>
    <w:rsid w:val="005A7A1C"/>
    <w:rsid w:val="005B3514"/>
    <w:rsid w:val="005B4733"/>
    <w:rsid w:val="005C136D"/>
    <w:rsid w:val="005C5C2D"/>
    <w:rsid w:val="005C7BED"/>
    <w:rsid w:val="005D0BAA"/>
    <w:rsid w:val="005D4651"/>
    <w:rsid w:val="005D4CD4"/>
    <w:rsid w:val="005D541C"/>
    <w:rsid w:val="005F4AD5"/>
    <w:rsid w:val="00610270"/>
    <w:rsid w:val="006106CD"/>
    <w:rsid w:val="006166B0"/>
    <w:rsid w:val="00620615"/>
    <w:rsid w:val="00627433"/>
    <w:rsid w:val="0063712E"/>
    <w:rsid w:val="00652D2C"/>
    <w:rsid w:val="00660756"/>
    <w:rsid w:val="00671A96"/>
    <w:rsid w:val="00672B07"/>
    <w:rsid w:val="00675D42"/>
    <w:rsid w:val="00677B3B"/>
    <w:rsid w:val="00677BC4"/>
    <w:rsid w:val="00684EAA"/>
    <w:rsid w:val="0068607D"/>
    <w:rsid w:val="00687AD5"/>
    <w:rsid w:val="006A6CB2"/>
    <w:rsid w:val="006A796B"/>
    <w:rsid w:val="006F0D66"/>
    <w:rsid w:val="00700AF3"/>
    <w:rsid w:val="00700E2A"/>
    <w:rsid w:val="00701A8B"/>
    <w:rsid w:val="007022BE"/>
    <w:rsid w:val="00726EA0"/>
    <w:rsid w:val="007270F3"/>
    <w:rsid w:val="00731CF5"/>
    <w:rsid w:val="0073388A"/>
    <w:rsid w:val="00751C73"/>
    <w:rsid w:val="00761406"/>
    <w:rsid w:val="00764467"/>
    <w:rsid w:val="00772E96"/>
    <w:rsid w:val="007846CD"/>
    <w:rsid w:val="00792A64"/>
    <w:rsid w:val="007938C0"/>
    <w:rsid w:val="007A31A1"/>
    <w:rsid w:val="007A5422"/>
    <w:rsid w:val="007B032E"/>
    <w:rsid w:val="007B0344"/>
    <w:rsid w:val="007B3178"/>
    <w:rsid w:val="007D1934"/>
    <w:rsid w:val="007D2252"/>
    <w:rsid w:val="007D22C5"/>
    <w:rsid w:val="007E4639"/>
    <w:rsid w:val="007E5D52"/>
    <w:rsid w:val="00801603"/>
    <w:rsid w:val="0080320C"/>
    <w:rsid w:val="008206CE"/>
    <w:rsid w:val="008261CB"/>
    <w:rsid w:val="00831E6D"/>
    <w:rsid w:val="00833DA7"/>
    <w:rsid w:val="00834211"/>
    <w:rsid w:val="00861BCD"/>
    <w:rsid w:val="00866172"/>
    <w:rsid w:val="0087123D"/>
    <w:rsid w:val="00876086"/>
    <w:rsid w:val="00876FFC"/>
    <w:rsid w:val="00884E6A"/>
    <w:rsid w:val="0089169F"/>
    <w:rsid w:val="0089417C"/>
    <w:rsid w:val="00895DBE"/>
    <w:rsid w:val="00896839"/>
    <w:rsid w:val="008A5AE7"/>
    <w:rsid w:val="008B7521"/>
    <w:rsid w:val="008C3256"/>
    <w:rsid w:val="008C5CE8"/>
    <w:rsid w:val="008D0A55"/>
    <w:rsid w:val="008D0DE7"/>
    <w:rsid w:val="008D2AF1"/>
    <w:rsid w:val="008F04B4"/>
    <w:rsid w:val="008F20E2"/>
    <w:rsid w:val="0090201D"/>
    <w:rsid w:val="00910F93"/>
    <w:rsid w:val="00911549"/>
    <w:rsid w:val="0091421B"/>
    <w:rsid w:val="009158B7"/>
    <w:rsid w:val="00930763"/>
    <w:rsid w:val="00932AA5"/>
    <w:rsid w:val="0093763C"/>
    <w:rsid w:val="00940A3E"/>
    <w:rsid w:val="009415BF"/>
    <w:rsid w:val="00957237"/>
    <w:rsid w:val="00976697"/>
    <w:rsid w:val="00983CEB"/>
    <w:rsid w:val="00985CF6"/>
    <w:rsid w:val="00986BDE"/>
    <w:rsid w:val="00991E94"/>
    <w:rsid w:val="00997422"/>
    <w:rsid w:val="009A1A8B"/>
    <w:rsid w:val="009B0BE8"/>
    <w:rsid w:val="009B6D1F"/>
    <w:rsid w:val="009C08BC"/>
    <w:rsid w:val="009D3F6F"/>
    <w:rsid w:val="009E6697"/>
    <w:rsid w:val="009E6A41"/>
    <w:rsid w:val="00A00B46"/>
    <w:rsid w:val="00A06D18"/>
    <w:rsid w:val="00A1546C"/>
    <w:rsid w:val="00A203EB"/>
    <w:rsid w:val="00A3186D"/>
    <w:rsid w:val="00A326AA"/>
    <w:rsid w:val="00A33339"/>
    <w:rsid w:val="00A342BC"/>
    <w:rsid w:val="00A544EE"/>
    <w:rsid w:val="00A55C50"/>
    <w:rsid w:val="00A606F2"/>
    <w:rsid w:val="00A63C67"/>
    <w:rsid w:val="00A83A3C"/>
    <w:rsid w:val="00A84ADD"/>
    <w:rsid w:val="00A9338D"/>
    <w:rsid w:val="00AA1925"/>
    <w:rsid w:val="00AB0D8C"/>
    <w:rsid w:val="00AB2711"/>
    <w:rsid w:val="00AD01F9"/>
    <w:rsid w:val="00AD17DD"/>
    <w:rsid w:val="00AE0A3D"/>
    <w:rsid w:val="00AE1013"/>
    <w:rsid w:val="00AE2B81"/>
    <w:rsid w:val="00AE70C7"/>
    <w:rsid w:val="00AE7A2C"/>
    <w:rsid w:val="00B056BE"/>
    <w:rsid w:val="00B076E6"/>
    <w:rsid w:val="00B167D9"/>
    <w:rsid w:val="00B2060B"/>
    <w:rsid w:val="00B246EF"/>
    <w:rsid w:val="00B305B4"/>
    <w:rsid w:val="00B40970"/>
    <w:rsid w:val="00B44F29"/>
    <w:rsid w:val="00B56295"/>
    <w:rsid w:val="00B60842"/>
    <w:rsid w:val="00B84433"/>
    <w:rsid w:val="00B848BA"/>
    <w:rsid w:val="00B96CE5"/>
    <w:rsid w:val="00B97247"/>
    <w:rsid w:val="00BA26CF"/>
    <w:rsid w:val="00BA3C41"/>
    <w:rsid w:val="00BA554F"/>
    <w:rsid w:val="00BA6EDD"/>
    <w:rsid w:val="00BA7465"/>
    <w:rsid w:val="00BB0007"/>
    <w:rsid w:val="00BC3574"/>
    <w:rsid w:val="00BC481E"/>
    <w:rsid w:val="00BD032D"/>
    <w:rsid w:val="00BD4FFE"/>
    <w:rsid w:val="00BE1B39"/>
    <w:rsid w:val="00BE2567"/>
    <w:rsid w:val="00BE380A"/>
    <w:rsid w:val="00BF5B8E"/>
    <w:rsid w:val="00C12F29"/>
    <w:rsid w:val="00C345BF"/>
    <w:rsid w:val="00C40BC8"/>
    <w:rsid w:val="00C41C1B"/>
    <w:rsid w:val="00C544D3"/>
    <w:rsid w:val="00C64FB6"/>
    <w:rsid w:val="00C65E13"/>
    <w:rsid w:val="00C76252"/>
    <w:rsid w:val="00C90930"/>
    <w:rsid w:val="00C97363"/>
    <w:rsid w:val="00CA3358"/>
    <w:rsid w:val="00CC5B67"/>
    <w:rsid w:val="00CC7CA5"/>
    <w:rsid w:val="00CE5D55"/>
    <w:rsid w:val="00CE5FBB"/>
    <w:rsid w:val="00CE69FF"/>
    <w:rsid w:val="00CF1754"/>
    <w:rsid w:val="00D00414"/>
    <w:rsid w:val="00D12075"/>
    <w:rsid w:val="00D22B57"/>
    <w:rsid w:val="00D3618D"/>
    <w:rsid w:val="00D46E49"/>
    <w:rsid w:val="00D50DB8"/>
    <w:rsid w:val="00D67C0B"/>
    <w:rsid w:val="00D71919"/>
    <w:rsid w:val="00D77592"/>
    <w:rsid w:val="00D83E22"/>
    <w:rsid w:val="00DA6B1C"/>
    <w:rsid w:val="00DA75AB"/>
    <w:rsid w:val="00DB6E83"/>
    <w:rsid w:val="00DC0D68"/>
    <w:rsid w:val="00DC2253"/>
    <w:rsid w:val="00DC4799"/>
    <w:rsid w:val="00DD4EAD"/>
    <w:rsid w:val="00DD5EF0"/>
    <w:rsid w:val="00DF718C"/>
    <w:rsid w:val="00E05B32"/>
    <w:rsid w:val="00E1260D"/>
    <w:rsid w:val="00E248D3"/>
    <w:rsid w:val="00E25A7B"/>
    <w:rsid w:val="00E520B7"/>
    <w:rsid w:val="00E522B5"/>
    <w:rsid w:val="00E67A15"/>
    <w:rsid w:val="00E742F7"/>
    <w:rsid w:val="00E85E4F"/>
    <w:rsid w:val="00EA49B6"/>
    <w:rsid w:val="00EB6D01"/>
    <w:rsid w:val="00EC4D62"/>
    <w:rsid w:val="00EC574B"/>
    <w:rsid w:val="00EE7940"/>
    <w:rsid w:val="00EF5DCB"/>
    <w:rsid w:val="00F0024A"/>
    <w:rsid w:val="00F02217"/>
    <w:rsid w:val="00F031A7"/>
    <w:rsid w:val="00F03672"/>
    <w:rsid w:val="00F04C03"/>
    <w:rsid w:val="00F05BF9"/>
    <w:rsid w:val="00F210E5"/>
    <w:rsid w:val="00F33999"/>
    <w:rsid w:val="00F362FC"/>
    <w:rsid w:val="00F36962"/>
    <w:rsid w:val="00F4088B"/>
    <w:rsid w:val="00F44A42"/>
    <w:rsid w:val="00F465A2"/>
    <w:rsid w:val="00F47BE3"/>
    <w:rsid w:val="00F5279D"/>
    <w:rsid w:val="00F627A0"/>
    <w:rsid w:val="00F70003"/>
    <w:rsid w:val="00F74AD8"/>
    <w:rsid w:val="00F84278"/>
    <w:rsid w:val="00F93963"/>
    <w:rsid w:val="00FA423F"/>
    <w:rsid w:val="00FA7E18"/>
    <w:rsid w:val="00FC467C"/>
    <w:rsid w:val="00FE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46C90-094A-4921-B7D1-690CDC39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1020</Words>
  <Characters>5611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54</cp:revision>
  <cp:lastPrinted>2019-06-17T19:09:00Z</cp:lastPrinted>
  <dcterms:created xsi:type="dcterms:W3CDTF">2019-05-29T18:53:00Z</dcterms:created>
  <dcterms:modified xsi:type="dcterms:W3CDTF">2019-07-03T18:59:00Z</dcterms:modified>
</cp:coreProperties>
</file>