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66" w:rsidRPr="00CB6405" w:rsidRDefault="00736666" w:rsidP="00736666">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736666" w:rsidRPr="00CB6405" w:rsidRDefault="00736666" w:rsidP="00736666">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F10BB9">
        <w:rPr>
          <w:rFonts w:ascii="Arial" w:hAnsi="Arial" w:cs="Arial"/>
          <w:b/>
          <w:sz w:val="26"/>
          <w:szCs w:val="26"/>
        </w:rPr>
        <w:t>147</w:t>
      </w:r>
      <w:r w:rsidRPr="00CB6405">
        <w:rPr>
          <w:rFonts w:ascii="Arial" w:hAnsi="Arial" w:cs="Arial"/>
          <w:b/>
          <w:sz w:val="26"/>
          <w:szCs w:val="26"/>
        </w:rPr>
        <w:t>/201</w:t>
      </w:r>
      <w:r w:rsidR="00F10BB9">
        <w:rPr>
          <w:rFonts w:ascii="Arial" w:hAnsi="Arial" w:cs="Arial"/>
          <w:b/>
          <w:sz w:val="26"/>
          <w:szCs w:val="26"/>
        </w:rPr>
        <w:t>9</w:t>
      </w:r>
    </w:p>
    <w:p w:rsidR="00736666" w:rsidRPr="00CB6405" w:rsidRDefault="00736666" w:rsidP="00736666">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F10BB9">
        <w:rPr>
          <w:rFonts w:ascii="Arial" w:hAnsi="Arial" w:cs="Arial"/>
          <w:b/>
          <w:sz w:val="26"/>
          <w:szCs w:val="26"/>
        </w:rPr>
        <w:t>9</w:t>
      </w:r>
      <w:r>
        <w:rPr>
          <w:rFonts w:ascii="Arial" w:hAnsi="Arial" w:cs="Arial"/>
          <w:b/>
          <w:sz w:val="26"/>
          <w:szCs w:val="26"/>
        </w:rPr>
        <w:t>6/</w:t>
      </w:r>
      <w:r w:rsidRPr="00CB6405">
        <w:rPr>
          <w:rFonts w:ascii="Arial" w:hAnsi="Arial" w:cs="Arial"/>
          <w:b/>
          <w:sz w:val="26"/>
          <w:szCs w:val="26"/>
        </w:rPr>
        <w:t>201</w:t>
      </w:r>
      <w:r w:rsidR="00F10BB9">
        <w:rPr>
          <w:rFonts w:ascii="Arial" w:hAnsi="Arial" w:cs="Arial"/>
          <w:b/>
          <w:sz w:val="26"/>
          <w:szCs w:val="26"/>
        </w:rPr>
        <w:t>8</w:t>
      </w:r>
      <w:r w:rsidRPr="00CB6405">
        <w:rPr>
          <w:rFonts w:ascii="Arial" w:hAnsi="Arial" w:cs="Arial"/>
          <w:b/>
          <w:sz w:val="26"/>
          <w:szCs w:val="26"/>
        </w:rPr>
        <w:t xml:space="preserve"> </w:t>
      </w:r>
      <w:r w:rsidR="00F10BB9">
        <w:rPr>
          <w:rFonts w:ascii="Arial" w:hAnsi="Arial" w:cs="Arial"/>
          <w:b/>
          <w:sz w:val="26"/>
          <w:szCs w:val="26"/>
        </w:rPr>
        <w:t xml:space="preserve">TERCERA </w:t>
      </w:r>
      <w:r w:rsidRPr="00CB6405">
        <w:rPr>
          <w:rFonts w:ascii="Arial" w:hAnsi="Arial" w:cs="Arial"/>
          <w:b/>
          <w:sz w:val="26"/>
          <w:szCs w:val="26"/>
        </w:rPr>
        <w:t>SALA UNITARIA DE PRIMERA INSTANCIA</w:t>
      </w:r>
    </w:p>
    <w:p w:rsidR="00736666" w:rsidRPr="00CB6405" w:rsidRDefault="00736666" w:rsidP="00736666">
      <w:pPr>
        <w:spacing w:line="240" w:lineRule="auto"/>
        <w:ind w:left="2124"/>
        <w:jc w:val="both"/>
        <w:rPr>
          <w:rFonts w:ascii="Arial" w:hAnsi="Arial" w:cs="Arial"/>
          <w:b/>
          <w:sz w:val="26"/>
          <w:szCs w:val="26"/>
        </w:rPr>
      </w:pPr>
      <w:r>
        <w:rPr>
          <w:rFonts w:ascii="Arial" w:hAnsi="Arial" w:cs="Arial"/>
          <w:b/>
          <w:sz w:val="26"/>
          <w:szCs w:val="26"/>
        </w:rPr>
        <w:t>PONENTE: MAGISTRADA</w:t>
      </w:r>
      <w:r w:rsidRPr="00CB6405">
        <w:rPr>
          <w:rFonts w:ascii="Arial" w:hAnsi="Arial" w:cs="Arial"/>
          <w:b/>
          <w:sz w:val="26"/>
          <w:szCs w:val="26"/>
        </w:rPr>
        <w:t xml:space="preserve"> </w:t>
      </w:r>
      <w:r>
        <w:rPr>
          <w:rFonts w:ascii="Arial" w:hAnsi="Arial" w:cs="Arial"/>
          <w:b/>
          <w:sz w:val="26"/>
          <w:szCs w:val="26"/>
        </w:rPr>
        <w:t>MARÍA ELENA VILLA DE JARQUÍN.</w:t>
      </w:r>
    </w:p>
    <w:p w:rsidR="00736666" w:rsidRDefault="00736666" w:rsidP="00736666">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8D57D3">
        <w:rPr>
          <w:rFonts w:ascii="Arial" w:hAnsi="Arial" w:cs="Arial"/>
          <w:b/>
          <w:sz w:val="26"/>
          <w:szCs w:val="26"/>
        </w:rPr>
        <w:t>DIEZ</w:t>
      </w:r>
      <w:r w:rsidR="00F10BB9">
        <w:rPr>
          <w:rFonts w:ascii="Arial" w:hAnsi="Arial" w:cs="Arial"/>
          <w:b/>
          <w:sz w:val="26"/>
          <w:szCs w:val="26"/>
        </w:rPr>
        <w:t xml:space="preserve"> </w:t>
      </w:r>
      <w:r>
        <w:rPr>
          <w:rFonts w:ascii="Arial" w:hAnsi="Arial" w:cs="Arial"/>
          <w:b/>
          <w:sz w:val="26"/>
          <w:szCs w:val="26"/>
        </w:rPr>
        <w:t>DE OCTUBRE DE DOS MIL DIECINUEVE.</w:t>
      </w:r>
    </w:p>
    <w:p w:rsidR="00736666" w:rsidRPr="00CB6405" w:rsidRDefault="00736666" w:rsidP="00736666">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F10BB9">
        <w:rPr>
          <w:rFonts w:ascii="Arial" w:hAnsi="Arial" w:cs="Arial"/>
          <w:b/>
          <w:sz w:val="26"/>
          <w:szCs w:val="26"/>
        </w:rPr>
        <w:t>147</w:t>
      </w:r>
      <w:r w:rsidRPr="00CB6405">
        <w:rPr>
          <w:rFonts w:ascii="Arial" w:hAnsi="Arial" w:cs="Arial"/>
          <w:b/>
          <w:sz w:val="26"/>
          <w:szCs w:val="26"/>
        </w:rPr>
        <w:t>/201</w:t>
      </w:r>
      <w:r w:rsidR="00F10BB9">
        <w:rPr>
          <w:rFonts w:ascii="Arial" w:hAnsi="Arial" w:cs="Arial"/>
          <w:b/>
          <w:sz w:val="26"/>
          <w:szCs w:val="26"/>
        </w:rPr>
        <w:t>9</w:t>
      </w:r>
      <w:r w:rsidRPr="00CB6405">
        <w:rPr>
          <w:rFonts w:ascii="Arial" w:hAnsi="Arial" w:cs="Arial"/>
          <w:sz w:val="26"/>
          <w:szCs w:val="26"/>
        </w:rPr>
        <w:t>, que remite la Secretaría General de Acuerdos, con motivo del recurso de revisión interpuesto por</w:t>
      </w:r>
      <w:r w:rsidR="00F10BB9">
        <w:rPr>
          <w:rFonts w:ascii="Arial" w:hAnsi="Arial" w:cs="Arial"/>
          <w:sz w:val="26"/>
          <w:szCs w:val="26"/>
        </w:rPr>
        <w:t xml:space="preserve"> </w:t>
      </w:r>
      <w:r>
        <w:rPr>
          <w:rFonts w:ascii="Arial" w:hAnsi="Arial" w:cs="Arial"/>
          <w:sz w:val="26"/>
          <w:szCs w:val="26"/>
        </w:rPr>
        <w:t>l</w:t>
      </w:r>
      <w:r w:rsidR="00F10BB9">
        <w:rPr>
          <w:rFonts w:ascii="Arial" w:hAnsi="Arial" w:cs="Arial"/>
          <w:sz w:val="26"/>
          <w:szCs w:val="26"/>
        </w:rPr>
        <w:t>a</w:t>
      </w:r>
      <w:r>
        <w:rPr>
          <w:rFonts w:ascii="Arial" w:hAnsi="Arial" w:cs="Arial"/>
          <w:sz w:val="26"/>
          <w:szCs w:val="26"/>
        </w:rPr>
        <w:t xml:space="preserve"> </w:t>
      </w:r>
      <w:r w:rsidR="00F10BB9">
        <w:rPr>
          <w:rFonts w:ascii="Arial" w:hAnsi="Arial" w:cs="Arial"/>
          <w:b/>
          <w:sz w:val="26"/>
          <w:szCs w:val="26"/>
        </w:rPr>
        <w:t xml:space="preserve">JEFA DE LA UNIDAD DE RECAUDACIÓN </w:t>
      </w:r>
      <w:r w:rsidRPr="00736666">
        <w:rPr>
          <w:rFonts w:ascii="Arial" w:hAnsi="Arial" w:cs="Arial"/>
          <w:b/>
          <w:sz w:val="26"/>
          <w:szCs w:val="26"/>
        </w:rPr>
        <w:t>DEL MUNICIPIO DE OAXACA DE JUÁREZ, OAXACA</w:t>
      </w:r>
      <w:r w:rsidRPr="00CB6405">
        <w:rPr>
          <w:rFonts w:ascii="Arial" w:hAnsi="Arial" w:cs="Arial"/>
          <w:sz w:val="26"/>
          <w:szCs w:val="26"/>
        </w:rPr>
        <w:t>, en contra de</w:t>
      </w:r>
      <w:r>
        <w:rPr>
          <w:rFonts w:ascii="Arial" w:hAnsi="Arial" w:cs="Arial"/>
          <w:sz w:val="26"/>
          <w:szCs w:val="26"/>
        </w:rPr>
        <w:t xml:space="preserve"> la sentencia de </w:t>
      </w:r>
      <w:r w:rsidR="00F10BB9">
        <w:rPr>
          <w:rFonts w:ascii="Arial" w:hAnsi="Arial" w:cs="Arial"/>
          <w:sz w:val="26"/>
          <w:szCs w:val="26"/>
        </w:rPr>
        <w:t xml:space="preserve">veintisiete de marzo </w:t>
      </w:r>
      <w:r>
        <w:rPr>
          <w:rFonts w:ascii="Arial" w:hAnsi="Arial" w:cs="Arial"/>
          <w:sz w:val="26"/>
          <w:szCs w:val="26"/>
        </w:rPr>
        <w:t xml:space="preserve">de </w:t>
      </w:r>
      <w:r w:rsidRPr="00CB6405">
        <w:rPr>
          <w:rFonts w:ascii="Arial" w:hAnsi="Arial" w:cs="Arial"/>
          <w:sz w:val="26"/>
          <w:szCs w:val="26"/>
        </w:rPr>
        <w:t>dos mil dieci</w:t>
      </w:r>
      <w:r w:rsidR="00F10BB9">
        <w:rPr>
          <w:rFonts w:ascii="Arial" w:hAnsi="Arial" w:cs="Arial"/>
          <w:sz w:val="26"/>
          <w:szCs w:val="26"/>
        </w:rPr>
        <w:t>nueve</w:t>
      </w:r>
      <w:r>
        <w:rPr>
          <w:rFonts w:ascii="Arial" w:hAnsi="Arial" w:cs="Arial"/>
          <w:sz w:val="26"/>
          <w:szCs w:val="26"/>
        </w:rPr>
        <w:t>, dictada</w:t>
      </w:r>
      <w:r w:rsidRPr="00CB6405">
        <w:rPr>
          <w:rFonts w:ascii="Arial" w:hAnsi="Arial" w:cs="Arial"/>
          <w:sz w:val="26"/>
          <w:szCs w:val="26"/>
        </w:rPr>
        <w:t xml:space="preserve"> en el expediente </w:t>
      </w:r>
      <w:r w:rsidR="00F10BB9">
        <w:rPr>
          <w:rFonts w:ascii="Arial" w:hAnsi="Arial" w:cs="Arial"/>
          <w:b/>
          <w:sz w:val="26"/>
          <w:szCs w:val="26"/>
        </w:rPr>
        <w:t>9</w:t>
      </w:r>
      <w:r>
        <w:rPr>
          <w:rFonts w:ascii="Arial" w:hAnsi="Arial" w:cs="Arial"/>
          <w:b/>
          <w:sz w:val="26"/>
          <w:szCs w:val="26"/>
        </w:rPr>
        <w:t>6</w:t>
      </w:r>
      <w:r w:rsidRPr="00CB6405">
        <w:rPr>
          <w:rFonts w:ascii="Arial" w:hAnsi="Arial" w:cs="Arial"/>
          <w:b/>
          <w:sz w:val="26"/>
          <w:szCs w:val="26"/>
        </w:rPr>
        <w:t>/201</w:t>
      </w:r>
      <w:r w:rsidR="00F10BB9">
        <w:rPr>
          <w:rFonts w:ascii="Arial" w:hAnsi="Arial" w:cs="Arial"/>
          <w:b/>
          <w:sz w:val="26"/>
          <w:szCs w:val="26"/>
        </w:rPr>
        <w:t>8</w:t>
      </w:r>
      <w:r w:rsidRPr="00CB6405">
        <w:rPr>
          <w:rFonts w:ascii="Arial" w:hAnsi="Arial" w:cs="Arial"/>
          <w:sz w:val="26"/>
          <w:szCs w:val="26"/>
        </w:rPr>
        <w:t xml:space="preserve"> de la </w:t>
      </w:r>
      <w:r w:rsidR="00F10BB9">
        <w:rPr>
          <w:rFonts w:ascii="Arial" w:hAnsi="Arial" w:cs="Arial"/>
          <w:sz w:val="26"/>
          <w:szCs w:val="26"/>
        </w:rPr>
        <w:t xml:space="preserve">Tercera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Pr>
          <w:rFonts w:ascii="Arial" w:hAnsi="Arial" w:cs="Arial"/>
          <w:b/>
          <w:sz w:val="26"/>
          <w:szCs w:val="26"/>
        </w:rPr>
        <w:t xml:space="preserve"> </w:t>
      </w:r>
      <w:r w:rsidR="00B97FBC">
        <w:rPr>
          <w:rFonts w:ascii="Arial" w:hAnsi="Arial" w:cs="Arial"/>
          <w:b/>
          <w:sz w:val="26"/>
          <w:szCs w:val="26"/>
        </w:rPr>
        <w:t>**********</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del</w:t>
      </w:r>
      <w:r>
        <w:rPr>
          <w:rFonts w:ascii="Arial" w:hAnsi="Arial" w:cs="Arial"/>
          <w:b/>
          <w:sz w:val="26"/>
          <w:szCs w:val="26"/>
        </w:rPr>
        <w:t xml:space="preserve"> POLICÍA </w:t>
      </w:r>
      <w:r w:rsidRPr="006B3BEA">
        <w:rPr>
          <w:rFonts w:ascii="Arial" w:hAnsi="Arial" w:cs="Arial"/>
          <w:b/>
          <w:sz w:val="26"/>
          <w:szCs w:val="26"/>
        </w:rPr>
        <w:t>VIAL PV-</w:t>
      </w:r>
      <w:r w:rsidR="00F10BB9">
        <w:rPr>
          <w:rFonts w:ascii="Arial" w:hAnsi="Arial" w:cs="Arial"/>
          <w:b/>
          <w:sz w:val="26"/>
          <w:szCs w:val="26"/>
        </w:rPr>
        <w:t>178</w:t>
      </w:r>
      <w:r>
        <w:rPr>
          <w:rFonts w:ascii="Arial" w:hAnsi="Arial" w:cs="Arial"/>
          <w:b/>
          <w:sz w:val="26"/>
          <w:szCs w:val="26"/>
        </w:rPr>
        <w:t xml:space="preserve"> adscrito</w:t>
      </w:r>
      <w:r w:rsidRPr="006B3BEA">
        <w:rPr>
          <w:rFonts w:ascii="Arial" w:hAnsi="Arial" w:cs="Arial"/>
          <w:b/>
          <w:sz w:val="26"/>
          <w:szCs w:val="26"/>
        </w:rPr>
        <w:t xml:space="preserve"> a la COMIS</w:t>
      </w:r>
      <w:r>
        <w:rPr>
          <w:rFonts w:ascii="Arial" w:hAnsi="Arial" w:cs="Arial"/>
          <w:b/>
          <w:sz w:val="26"/>
          <w:szCs w:val="26"/>
        </w:rPr>
        <w:t xml:space="preserve">ARÍA DE VIALIDAD DEL MUNICIPIO DE OAXACA DE JUÁREZ, OAXACA, </w:t>
      </w:r>
      <w:r w:rsidR="00F10BB9" w:rsidRPr="00F10BB9">
        <w:rPr>
          <w:rFonts w:ascii="Arial" w:hAnsi="Arial" w:cs="Arial"/>
          <w:sz w:val="26"/>
          <w:szCs w:val="26"/>
        </w:rPr>
        <w:t xml:space="preserve">y </w:t>
      </w:r>
      <w:r w:rsidRPr="00F10BB9">
        <w:rPr>
          <w:rFonts w:ascii="Arial" w:hAnsi="Arial" w:cs="Arial"/>
          <w:sz w:val="26"/>
          <w:szCs w:val="26"/>
        </w:rPr>
        <w:t>la</w:t>
      </w:r>
      <w:r>
        <w:rPr>
          <w:rFonts w:ascii="Arial" w:hAnsi="Arial" w:cs="Arial"/>
          <w:b/>
          <w:sz w:val="26"/>
          <w:szCs w:val="26"/>
        </w:rPr>
        <w:t xml:space="preserve"> </w:t>
      </w:r>
      <w:r w:rsidR="00F10BB9">
        <w:rPr>
          <w:rFonts w:ascii="Arial" w:hAnsi="Arial" w:cs="Arial"/>
          <w:b/>
          <w:sz w:val="26"/>
          <w:szCs w:val="26"/>
        </w:rPr>
        <w:t>RECAUDA</w:t>
      </w:r>
      <w:r w:rsidR="006F5026">
        <w:rPr>
          <w:rFonts w:ascii="Arial" w:hAnsi="Arial" w:cs="Arial"/>
          <w:b/>
          <w:sz w:val="26"/>
          <w:szCs w:val="26"/>
        </w:rPr>
        <w:t>DO</w:t>
      </w:r>
      <w:r w:rsidR="00F10BB9">
        <w:rPr>
          <w:rFonts w:ascii="Arial" w:hAnsi="Arial" w:cs="Arial"/>
          <w:b/>
          <w:sz w:val="26"/>
          <w:szCs w:val="26"/>
        </w:rPr>
        <w:t>RA DE RENTAS DE LA COORDINACIÓN DE FINANZAS Y ADMINISTRACIÓN DE OAXACA DE JUÁREZ,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736666" w:rsidRPr="00CB6405" w:rsidRDefault="00736666" w:rsidP="00736666">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736666" w:rsidRPr="00CB6405" w:rsidRDefault="00736666" w:rsidP="00736666">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3B3A9A">
        <w:rPr>
          <w:rFonts w:ascii="Arial" w:hAnsi="Arial" w:cs="Arial"/>
          <w:sz w:val="26"/>
          <w:szCs w:val="26"/>
        </w:rPr>
        <w:t xml:space="preserve">veintisiete </w:t>
      </w:r>
      <w:r>
        <w:rPr>
          <w:rFonts w:ascii="Arial" w:hAnsi="Arial" w:cs="Arial"/>
          <w:sz w:val="26"/>
          <w:szCs w:val="26"/>
        </w:rPr>
        <w:t xml:space="preserve">de </w:t>
      </w:r>
      <w:r w:rsidR="003B3A9A">
        <w:rPr>
          <w:rFonts w:ascii="Arial" w:hAnsi="Arial" w:cs="Arial"/>
          <w:sz w:val="26"/>
          <w:szCs w:val="26"/>
        </w:rPr>
        <w:t xml:space="preserve">marzo </w:t>
      </w:r>
      <w:r>
        <w:rPr>
          <w:rFonts w:ascii="Arial" w:hAnsi="Arial" w:cs="Arial"/>
          <w:sz w:val="26"/>
          <w:szCs w:val="26"/>
        </w:rPr>
        <w:t xml:space="preserve">de </w:t>
      </w:r>
      <w:r w:rsidRPr="00CB6405">
        <w:rPr>
          <w:rFonts w:ascii="Arial" w:hAnsi="Arial" w:cs="Arial"/>
          <w:sz w:val="26"/>
          <w:szCs w:val="26"/>
        </w:rPr>
        <w:t>dos mil dieci</w:t>
      </w:r>
      <w:r w:rsidR="003B3A9A">
        <w:rPr>
          <w:rFonts w:ascii="Arial" w:hAnsi="Arial" w:cs="Arial"/>
          <w:sz w:val="26"/>
          <w:szCs w:val="26"/>
        </w:rPr>
        <w:t>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3B3A9A">
        <w:rPr>
          <w:rFonts w:ascii="Arial" w:hAnsi="Arial" w:cs="Arial"/>
          <w:sz w:val="26"/>
          <w:szCs w:val="26"/>
        </w:rPr>
        <w:t xml:space="preserve">Tercera </w:t>
      </w:r>
      <w:r w:rsidRPr="00CB6405">
        <w:rPr>
          <w:rFonts w:ascii="Arial" w:hAnsi="Arial" w:cs="Arial"/>
          <w:sz w:val="26"/>
          <w:szCs w:val="26"/>
        </w:rPr>
        <w:t xml:space="preserve">Sala Unitaria de Primera Instancia, </w:t>
      </w:r>
      <w:r w:rsidR="003B3A9A">
        <w:rPr>
          <w:rFonts w:ascii="Arial" w:hAnsi="Arial" w:cs="Arial"/>
          <w:sz w:val="26"/>
          <w:szCs w:val="26"/>
        </w:rPr>
        <w:t xml:space="preserve">la </w:t>
      </w:r>
      <w:r w:rsidR="003B3A9A">
        <w:rPr>
          <w:rFonts w:ascii="Arial" w:hAnsi="Arial" w:cs="Arial"/>
          <w:b/>
          <w:sz w:val="26"/>
          <w:szCs w:val="26"/>
        </w:rPr>
        <w:t xml:space="preserve">JEFA DE LA UNIDAD DE RECAUDACIÓN </w:t>
      </w:r>
      <w:r w:rsidR="003B3A9A" w:rsidRPr="00736666">
        <w:rPr>
          <w:rFonts w:ascii="Arial" w:hAnsi="Arial" w:cs="Arial"/>
          <w:b/>
          <w:sz w:val="26"/>
          <w:szCs w:val="26"/>
        </w:rPr>
        <w:t>DEL MUNICIPIO DE OAXACA DE JUÁREZ, OAXACA</w:t>
      </w:r>
      <w:r w:rsidRPr="00CB6405">
        <w:rPr>
          <w:rFonts w:ascii="Arial" w:hAnsi="Arial" w:cs="Arial"/>
          <w:sz w:val="26"/>
          <w:szCs w:val="26"/>
        </w:rPr>
        <w:t>, interpuso en su contra recurso de revisión.</w:t>
      </w:r>
    </w:p>
    <w:p w:rsidR="00736666" w:rsidRDefault="00736666" w:rsidP="00736666">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736666" w:rsidRPr="00C06661" w:rsidRDefault="00736666" w:rsidP="00736666">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3B3A9A">
        <w:rPr>
          <w:rFonts w:ascii="Arial" w:eastAsia="Times New Roman" w:hAnsi="Arial" w:cs="Arial"/>
          <w:bCs/>
          <w:i/>
          <w:iCs/>
          <w:sz w:val="24"/>
          <w:szCs w:val="24"/>
          <w:lang w:eastAsia="es-ES"/>
        </w:rPr>
        <w:t xml:space="preserve">Tercera Sala Unitaria de Primera Instancia del </w:t>
      </w:r>
      <w:r>
        <w:rPr>
          <w:rFonts w:ascii="Arial" w:eastAsia="Times New Roman" w:hAnsi="Arial" w:cs="Arial"/>
          <w:bCs/>
          <w:i/>
          <w:iCs/>
          <w:sz w:val="24"/>
          <w:szCs w:val="24"/>
          <w:lang w:eastAsia="es-ES"/>
        </w:rPr>
        <w:t xml:space="preserve">Tribunal de Justicia Administrativa del Estado, </w:t>
      </w:r>
      <w:r w:rsidR="003B3A9A">
        <w:rPr>
          <w:rFonts w:ascii="Arial" w:eastAsia="Times New Roman" w:hAnsi="Arial" w:cs="Arial"/>
          <w:bCs/>
          <w:i/>
          <w:iCs/>
          <w:sz w:val="24"/>
          <w:szCs w:val="24"/>
          <w:lang w:eastAsia="es-ES"/>
        </w:rPr>
        <w:t xml:space="preserve">fue </w:t>
      </w:r>
      <w:r>
        <w:rPr>
          <w:rFonts w:ascii="Arial" w:eastAsia="Times New Roman" w:hAnsi="Arial" w:cs="Arial"/>
          <w:bCs/>
          <w:i/>
          <w:iCs/>
          <w:sz w:val="24"/>
          <w:szCs w:val="24"/>
          <w:lang w:eastAsia="es-ES"/>
        </w:rPr>
        <w:t xml:space="preserve">competente para conocer </w:t>
      </w:r>
      <w:r w:rsidRPr="00C06661">
        <w:rPr>
          <w:rFonts w:ascii="Arial" w:eastAsia="Times New Roman" w:hAnsi="Arial" w:cs="Arial"/>
          <w:bCs/>
          <w:i/>
          <w:iCs/>
          <w:sz w:val="24"/>
          <w:szCs w:val="24"/>
          <w:lang w:eastAsia="es-ES"/>
        </w:rPr>
        <w:t xml:space="preserve">y resolver </w:t>
      </w:r>
      <w:r w:rsidR="003B3A9A">
        <w:rPr>
          <w:rFonts w:ascii="Arial" w:eastAsia="Times New Roman" w:hAnsi="Arial" w:cs="Arial"/>
          <w:bCs/>
          <w:i/>
          <w:iCs/>
          <w:sz w:val="24"/>
          <w:szCs w:val="24"/>
          <w:lang w:eastAsia="es-ES"/>
        </w:rPr>
        <w:t>d</w:t>
      </w:r>
      <w:r w:rsidRPr="00C06661">
        <w:rPr>
          <w:rFonts w:ascii="Arial" w:eastAsia="Times New Roman" w:hAnsi="Arial" w:cs="Arial"/>
          <w:bCs/>
          <w:i/>
          <w:iCs/>
          <w:sz w:val="24"/>
          <w:szCs w:val="24"/>
          <w:lang w:eastAsia="es-ES"/>
        </w:rPr>
        <w:t xml:space="preserve">el presente </w:t>
      </w:r>
      <w:r w:rsidR="003B3A9A">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La </w:t>
      </w:r>
      <w:r w:rsidR="003B3A9A">
        <w:rPr>
          <w:rFonts w:ascii="Arial" w:eastAsia="Times New Roman" w:hAnsi="Arial" w:cs="Arial"/>
          <w:bCs/>
          <w:i/>
          <w:iCs/>
          <w:sz w:val="24"/>
          <w:szCs w:val="24"/>
          <w:lang w:eastAsia="es-ES"/>
        </w:rPr>
        <w:t>personalidad de las partes quedó</w:t>
      </w:r>
      <w:r>
        <w:rPr>
          <w:rFonts w:ascii="Arial" w:eastAsia="Times New Roman" w:hAnsi="Arial" w:cs="Arial"/>
          <w:bCs/>
          <w:i/>
          <w:iCs/>
          <w:sz w:val="24"/>
          <w:szCs w:val="24"/>
          <w:lang w:eastAsia="es-ES"/>
        </w:rPr>
        <w:t xml:space="preserve"> acreditada en autos.- - - - - - - - -</w:t>
      </w:r>
      <w:r w:rsidR="003B3A9A">
        <w:rPr>
          <w:rFonts w:ascii="Arial" w:eastAsia="Times New Roman" w:hAnsi="Arial" w:cs="Arial"/>
          <w:bCs/>
          <w:i/>
          <w:iCs/>
          <w:sz w:val="24"/>
          <w:szCs w:val="24"/>
          <w:lang w:eastAsia="es-ES"/>
        </w:rPr>
        <w:t xml:space="preserve"> - - - - - - - - - - - - - - - - - - - - - - - - - - - - - </w:t>
      </w:r>
      <w:r>
        <w:rPr>
          <w:rFonts w:ascii="Arial" w:eastAsia="Times New Roman" w:hAnsi="Arial" w:cs="Arial"/>
          <w:b/>
          <w:bCs/>
          <w:i/>
          <w:iCs/>
          <w:sz w:val="24"/>
          <w:szCs w:val="24"/>
          <w:lang w:eastAsia="es-ES"/>
        </w:rPr>
        <w:lastRenderedPageBreak/>
        <w:t xml:space="preserve">TERCERO. </w:t>
      </w:r>
      <w:r w:rsidR="003B3A9A">
        <w:rPr>
          <w:rFonts w:ascii="Arial" w:eastAsia="Times New Roman" w:hAnsi="Arial" w:cs="Arial"/>
          <w:bCs/>
          <w:i/>
          <w:iCs/>
          <w:sz w:val="24"/>
          <w:szCs w:val="24"/>
          <w:lang w:eastAsia="es-ES"/>
        </w:rPr>
        <w:t xml:space="preserve">No se actualizó ninguna causal de improcedencia, por lo </w:t>
      </w:r>
      <w:r w:rsidR="003B3A9A">
        <w:rPr>
          <w:rFonts w:ascii="Arial" w:eastAsia="Times New Roman" w:hAnsi="Arial" w:cs="Arial"/>
          <w:b/>
          <w:bCs/>
          <w:i/>
          <w:iCs/>
          <w:sz w:val="24"/>
          <w:szCs w:val="24"/>
          <w:lang w:eastAsia="es-ES"/>
        </w:rPr>
        <w:t xml:space="preserve">NO SE SOBRESEE </w:t>
      </w:r>
      <w:r w:rsidR="003B3A9A">
        <w:rPr>
          <w:rFonts w:ascii="Arial" w:eastAsia="Times New Roman" w:hAnsi="Arial" w:cs="Arial"/>
          <w:bCs/>
          <w:i/>
          <w:iCs/>
          <w:sz w:val="24"/>
          <w:szCs w:val="24"/>
          <w:lang w:eastAsia="es-ES"/>
        </w:rPr>
        <w:t>en el juicio</w:t>
      </w:r>
      <w:r>
        <w:rPr>
          <w:rFonts w:ascii="Arial" w:eastAsia="Times New Roman" w:hAnsi="Arial" w:cs="Arial"/>
          <w:bCs/>
          <w:i/>
          <w:iCs/>
          <w:sz w:val="24"/>
          <w:szCs w:val="24"/>
          <w:lang w:eastAsia="es-ES"/>
        </w:rPr>
        <w:t xml:space="preserve">.- - - - - </w:t>
      </w:r>
      <w:r>
        <w:rPr>
          <w:rFonts w:ascii="Arial" w:eastAsia="Times New Roman" w:hAnsi="Arial" w:cs="Arial"/>
          <w:b/>
          <w:bCs/>
          <w:i/>
          <w:iCs/>
          <w:sz w:val="24"/>
          <w:szCs w:val="24"/>
          <w:lang w:eastAsia="es-ES"/>
        </w:rPr>
        <w:t xml:space="preserve">CUARTO. </w:t>
      </w:r>
      <w:r>
        <w:rPr>
          <w:rFonts w:ascii="Arial" w:eastAsia="Times New Roman" w:hAnsi="Arial" w:cs="Arial"/>
          <w:bCs/>
          <w:i/>
          <w:iCs/>
          <w:sz w:val="24"/>
          <w:szCs w:val="24"/>
          <w:lang w:eastAsia="es-ES"/>
        </w:rPr>
        <w:t xml:space="preserve">Se declara </w:t>
      </w:r>
      <w:r w:rsidR="003B3A9A" w:rsidRPr="003B3A9A">
        <w:rPr>
          <w:rFonts w:ascii="Arial" w:eastAsia="Times New Roman" w:hAnsi="Arial" w:cs="Arial"/>
          <w:bCs/>
          <w:i/>
          <w:iCs/>
          <w:sz w:val="24"/>
          <w:szCs w:val="24"/>
          <w:lang w:eastAsia="es-ES"/>
        </w:rPr>
        <w:t>la</w:t>
      </w:r>
      <w:r w:rsidR="003B3A9A">
        <w:rPr>
          <w:rFonts w:ascii="Arial" w:eastAsia="Times New Roman" w:hAnsi="Arial" w:cs="Arial"/>
          <w:bCs/>
          <w:i/>
          <w:iCs/>
          <w:sz w:val="24"/>
          <w:szCs w:val="24"/>
          <w:lang w:eastAsia="es-ES"/>
        </w:rPr>
        <w:t xml:space="preserve"> </w:t>
      </w:r>
      <w:r w:rsidRPr="000953AB">
        <w:rPr>
          <w:rFonts w:ascii="Arial" w:eastAsia="Times New Roman" w:hAnsi="Arial" w:cs="Arial"/>
          <w:b/>
          <w:bCs/>
          <w:i/>
          <w:iCs/>
          <w:sz w:val="24"/>
          <w:szCs w:val="24"/>
          <w:lang w:eastAsia="es-ES"/>
        </w:rPr>
        <w:t>NULIDAD</w:t>
      </w:r>
      <w:r>
        <w:rPr>
          <w:rFonts w:ascii="Arial" w:eastAsia="Times New Roman" w:hAnsi="Arial" w:cs="Arial"/>
          <w:bCs/>
          <w:i/>
          <w:iCs/>
          <w:sz w:val="24"/>
          <w:szCs w:val="24"/>
          <w:lang w:eastAsia="es-ES"/>
        </w:rPr>
        <w:t xml:space="preserve"> </w:t>
      </w:r>
      <w:r>
        <w:rPr>
          <w:rFonts w:ascii="Arial" w:eastAsia="Times New Roman" w:hAnsi="Arial" w:cs="Arial"/>
          <w:b/>
          <w:bCs/>
          <w:i/>
          <w:iCs/>
          <w:sz w:val="24"/>
          <w:szCs w:val="24"/>
          <w:lang w:eastAsia="es-ES"/>
        </w:rPr>
        <w:t xml:space="preserve">LISA Y LLANA </w:t>
      </w:r>
      <w:r>
        <w:rPr>
          <w:rFonts w:ascii="Arial" w:eastAsia="Times New Roman" w:hAnsi="Arial" w:cs="Arial"/>
          <w:bCs/>
          <w:i/>
          <w:iCs/>
          <w:sz w:val="24"/>
          <w:szCs w:val="24"/>
          <w:lang w:eastAsia="es-ES"/>
        </w:rPr>
        <w:t xml:space="preserve">del acta de infracción de folio </w:t>
      </w:r>
      <w:r w:rsidR="00B97FBC">
        <w:rPr>
          <w:rFonts w:ascii="Arial" w:hAnsi="Arial" w:cs="Arial"/>
          <w:b/>
          <w:sz w:val="26"/>
          <w:szCs w:val="26"/>
        </w:rPr>
        <w:t>**********</w:t>
      </w:r>
      <w:r w:rsidR="003B3A9A">
        <w:rPr>
          <w:rFonts w:ascii="Arial" w:eastAsia="Times New Roman" w:hAnsi="Arial" w:cs="Arial"/>
          <w:b/>
          <w:bCs/>
          <w:i/>
          <w:iCs/>
          <w:sz w:val="24"/>
          <w:szCs w:val="24"/>
          <w:lang w:eastAsia="es-ES"/>
        </w:rPr>
        <w:t xml:space="preserve">, </w:t>
      </w:r>
      <w:r w:rsidR="003B3A9A">
        <w:rPr>
          <w:rFonts w:ascii="Arial" w:eastAsia="Times New Roman" w:hAnsi="Arial" w:cs="Arial"/>
          <w:bCs/>
          <w:i/>
          <w:iCs/>
          <w:sz w:val="24"/>
          <w:szCs w:val="24"/>
          <w:lang w:eastAsia="es-ES"/>
        </w:rPr>
        <w:t>de veintic</w:t>
      </w:r>
      <w:r w:rsidR="00477A06">
        <w:rPr>
          <w:rFonts w:ascii="Arial" w:eastAsia="Times New Roman" w:hAnsi="Arial" w:cs="Arial"/>
          <w:bCs/>
          <w:i/>
          <w:iCs/>
          <w:sz w:val="24"/>
          <w:szCs w:val="24"/>
          <w:lang w:eastAsia="es-ES"/>
        </w:rPr>
        <w:t>inc</w:t>
      </w:r>
      <w:r w:rsidR="003B3A9A">
        <w:rPr>
          <w:rFonts w:ascii="Arial" w:eastAsia="Times New Roman" w:hAnsi="Arial" w:cs="Arial"/>
          <w:bCs/>
          <w:i/>
          <w:iCs/>
          <w:sz w:val="24"/>
          <w:szCs w:val="24"/>
          <w:lang w:eastAsia="es-ES"/>
        </w:rPr>
        <w:t>o de septiembre de dos mil dieciocho, levantada por el policía vial de la Comisaría de Vialidad del Municipio de Oaxaca de Juárez, con placa PV-178; en consecuencia, se ordena al Recaudador de Rentas de la Coordinación de Finanzas y Administración de Oaxaca de Juárez, haga la devolución a</w:t>
      </w:r>
      <w:r w:rsidR="000B50D6">
        <w:rPr>
          <w:rFonts w:ascii="Arial" w:eastAsia="Times New Roman" w:hAnsi="Arial" w:cs="Arial"/>
          <w:bCs/>
          <w:i/>
          <w:iCs/>
          <w:sz w:val="24"/>
          <w:szCs w:val="24"/>
          <w:lang w:eastAsia="es-ES"/>
        </w:rPr>
        <w:t xml:space="preserve"> </w:t>
      </w:r>
      <w:r w:rsidR="00B97FBC">
        <w:rPr>
          <w:rFonts w:ascii="Arial" w:hAnsi="Arial" w:cs="Arial"/>
          <w:b/>
          <w:sz w:val="26"/>
          <w:szCs w:val="26"/>
        </w:rPr>
        <w:t>**********</w:t>
      </w:r>
      <w:r w:rsidR="003B3A9A">
        <w:rPr>
          <w:rFonts w:ascii="Arial" w:eastAsia="Times New Roman" w:hAnsi="Arial" w:cs="Arial"/>
          <w:bCs/>
          <w:i/>
          <w:iCs/>
          <w:sz w:val="24"/>
          <w:szCs w:val="24"/>
          <w:lang w:eastAsia="es-ES"/>
        </w:rPr>
        <w:t>, la cantidad que pagó, como se advierte en el recibo oficial d</w:t>
      </w:r>
      <w:r w:rsidR="000B50D6">
        <w:rPr>
          <w:rFonts w:ascii="Arial" w:eastAsia="Times New Roman" w:hAnsi="Arial" w:cs="Arial"/>
          <w:bCs/>
          <w:i/>
          <w:iCs/>
          <w:sz w:val="24"/>
          <w:szCs w:val="24"/>
          <w:lang w:eastAsia="es-ES"/>
        </w:rPr>
        <w:t xml:space="preserve">e pago de folio del sistema </w:t>
      </w:r>
      <w:r w:rsidR="00B97FBC">
        <w:rPr>
          <w:rFonts w:ascii="Arial" w:hAnsi="Arial" w:cs="Arial"/>
          <w:b/>
          <w:sz w:val="26"/>
          <w:szCs w:val="26"/>
        </w:rPr>
        <w:t>**********</w:t>
      </w:r>
      <w:r w:rsidR="00D90C44">
        <w:rPr>
          <w:rFonts w:ascii="Arial" w:eastAsia="Times New Roman" w:hAnsi="Arial" w:cs="Arial"/>
          <w:bCs/>
          <w:i/>
          <w:iCs/>
          <w:sz w:val="24"/>
          <w:szCs w:val="24"/>
          <w:lang w:eastAsia="es-ES"/>
        </w:rPr>
        <w:t xml:space="preserve"> de fecha veintisiete de septiembre de dos mil dieciocho; misma devolución que deberá hacerse en los plazos que establecen los artículo 212 y 213 de la Ley antes citada.</w:t>
      </w:r>
      <w:r w:rsidR="00B97FBC">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 </w:t>
      </w:r>
      <w:r w:rsidR="00D90C44">
        <w:rPr>
          <w:rFonts w:ascii="Arial" w:eastAsia="Times New Roman" w:hAnsi="Arial" w:cs="Arial"/>
          <w:bCs/>
          <w:i/>
          <w:iCs/>
          <w:sz w:val="24"/>
          <w:szCs w:val="24"/>
          <w:lang w:eastAsia="es-ES"/>
        </w:rPr>
        <w:t xml:space="preserve">- - - - - - </w:t>
      </w:r>
      <w:r>
        <w:rPr>
          <w:rFonts w:ascii="Arial" w:eastAsia="Times New Roman" w:hAnsi="Arial" w:cs="Arial"/>
          <w:b/>
          <w:bCs/>
          <w:i/>
          <w:iCs/>
          <w:sz w:val="24"/>
          <w:szCs w:val="24"/>
          <w:lang w:eastAsia="es-ES"/>
        </w:rPr>
        <w:t xml:space="preserve">QUINTO. </w:t>
      </w:r>
      <w:r w:rsidR="00D90C44">
        <w:rPr>
          <w:rFonts w:ascii="Arial" w:eastAsia="Times New Roman" w:hAnsi="Arial" w:cs="Arial"/>
          <w:bCs/>
          <w:i/>
          <w:iCs/>
          <w:sz w:val="24"/>
          <w:szCs w:val="24"/>
          <w:lang w:eastAsia="es-ES"/>
        </w:rPr>
        <w:t xml:space="preserve">Conforme a lo dispuesto en los artículos 172, </w:t>
      </w:r>
      <w:bookmarkStart w:id="0" w:name="_GoBack"/>
      <w:bookmarkEnd w:id="0"/>
      <w:r w:rsidR="00D90C44">
        <w:rPr>
          <w:rFonts w:ascii="Arial" w:eastAsia="Times New Roman" w:hAnsi="Arial" w:cs="Arial"/>
          <w:bCs/>
          <w:i/>
          <w:iCs/>
          <w:sz w:val="24"/>
          <w:szCs w:val="24"/>
          <w:lang w:eastAsia="es-ES"/>
        </w:rPr>
        <w:t xml:space="preserve">fracción I, y 173, fracciones I y II, de la Ley de Procedimiento y Justicia Administrativa para el Estado, </w:t>
      </w:r>
      <w:r w:rsidR="00D90C44" w:rsidRPr="00C06661">
        <w:rPr>
          <w:rFonts w:ascii="Arial" w:eastAsia="Times New Roman" w:hAnsi="Arial" w:cs="Arial"/>
          <w:b/>
          <w:bCs/>
          <w:i/>
          <w:iCs/>
          <w:sz w:val="24"/>
          <w:szCs w:val="24"/>
          <w:lang w:eastAsia="es-ES"/>
        </w:rPr>
        <w:t xml:space="preserve">NOTIFÍQUESE </w:t>
      </w:r>
      <w:r w:rsidRPr="00D90C44">
        <w:rPr>
          <w:rFonts w:ascii="Arial" w:eastAsia="Times New Roman" w:hAnsi="Arial" w:cs="Arial"/>
          <w:b/>
          <w:bCs/>
          <w:i/>
          <w:iCs/>
          <w:sz w:val="24"/>
          <w:szCs w:val="24"/>
          <w:lang w:eastAsia="es-ES"/>
        </w:rPr>
        <w:t xml:space="preserve">PERSONALMENTE A LA </w:t>
      </w:r>
      <w:r w:rsidR="00D90C44">
        <w:rPr>
          <w:rFonts w:ascii="Arial" w:eastAsia="Times New Roman" w:hAnsi="Arial" w:cs="Arial"/>
          <w:b/>
          <w:bCs/>
          <w:i/>
          <w:iCs/>
          <w:sz w:val="24"/>
          <w:szCs w:val="24"/>
          <w:lang w:eastAsia="es-ES"/>
        </w:rPr>
        <w:t xml:space="preserve">PARTE </w:t>
      </w:r>
      <w:r w:rsidRPr="00D90C44">
        <w:rPr>
          <w:rFonts w:ascii="Arial" w:eastAsia="Times New Roman" w:hAnsi="Arial" w:cs="Arial"/>
          <w:b/>
          <w:bCs/>
          <w:i/>
          <w:iCs/>
          <w:sz w:val="24"/>
          <w:szCs w:val="24"/>
          <w:lang w:eastAsia="es-ES"/>
        </w:rPr>
        <w:t>ACTORA</w:t>
      </w:r>
      <w:r>
        <w:rPr>
          <w:rFonts w:ascii="Arial" w:eastAsia="Times New Roman" w:hAnsi="Arial" w:cs="Arial"/>
          <w:bCs/>
          <w:i/>
          <w:iCs/>
          <w:sz w:val="24"/>
          <w:szCs w:val="24"/>
          <w:lang w:eastAsia="es-ES"/>
        </w:rPr>
        <w:t xml:space="preserve"> </w:t>
      </w:r>
      <w:r w:rsidRPr="00D90C44">
        <w:rPr>
          <w:rFonts w:ascii="Arial" w:eastAsia="Times New Roman" w:hAnsi="Arial" w:cs="Arial"/>
          <w:b/>
          <w:bCs/>
          <w:i/>
          <w:iCs/>
          <w:sz w:val="24"/>
          <w:szCs w:val="24"/>
          <w:lang w:eastAsia="es-ES"/>
        </w:rPr>
        <w:t>Y POR OFICIO A LAS AUTORIDADES DEMANDADAS</w:t>
      </w:r>
      <w:r w:rsidR="00D90C44">
        <w:rPr>
          <w:rFonts w:ascii="Arial" w:eastAsia="Times New Roman" w:hAnsi="Arial" w:cs="Arial"/>
          <w:bCs/>
          <w:i/>
          <w:iCs/>
          <w:sz w:val="24"/>
          <w:szCs w:val="24"/>
          <w:lang w:eastAsia="es-ES"/>
        </w:rPr>
        <w:t xml:space="preserve">. </w:t>
      </w:r>
      <w:r w:rsidR="00D90C44" w:rsidRPr="00D90C44">
        <w:rPr>
          <w:rFonts w:ascii="Arial" w:eastAsia="Times New Roman" w:hAnsi="Arial" w:cs="Arial"/>
          <w:b/>
          <w:bCs/>
          <w:i/>
          <w:iCs/>
          <w:sz w:val="24"/>
          <w:szCs w:val="24"/>
          <w:lang w:eastAsia="es-ES"/>
        </w:rPr>
        <w:t>CÚMPLASE</w:t>
      </w:r>
      <w:r w:rsidR="000B50D6">
        <w:rPr>
          <w:rFonts w:ascii="Arial" w:eastAsia="Times New Roman" w:hAnsi="Arial" w:cs="Arial"/>
          <w:bCs/>
          <w:i/>
          <w:iCs/>
          <w:sz w:val="24"/>
          <w:szCs w:val="24"/>
          <w:lang w:eastAsia="es-ES"/>
        </w:rPr>
        <w:t xml:space="preserve">.- - - </w:t>
      </w:r>
      <w:proofErr w:type="gramStart"/>
      <w:r w:rsidR="00D90C44">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roofErr w:type="gramEnd"/>
    </w:p>
    <w:p w:rsidR="00736666" w:rsidRPr="00CB6405" w:rsidRDefault="00736666" w:rsidP="00736666">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36666" w:rsidRPr="00CB6405" w:rsidRDefault="00736666" w:rsidP="00736666">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w:t>
      </w:r>
      <w:r w:rsidR="00715E46">
        <w:rPr>
          <w:rFonts w:ascii="Arial" w:hAnsi="Arial" w:cs="Arial"/>
          <w:bCs/>
          <w:iCs/>
          <w:sz w:val="26"/>
          <w:szCs w:val="26"/>
        </w:rPr>
        <w:t xml:space="preserve">veintisiete de marzo </w:t>
      </w:r>
      <w:r>
        <w:rPr>
          <w:rFonts w:ascii="Arial" w:hAnsi="Arial" w:cs="Arial"/>
          <w:sz w:val="26"/>
          <w:szCs w:val="26"/>
        </w:rPr>
        <w:t xml:space="preserve">de </w:t>
      </w:r>
      <w:r w:rsidRPr="00CB6405">
        <w:rPr>
          <w:rFonts w:ascii="Arial" w:hAnsi="Arial" w:cs="Arial"/>
          <w:sz w:val="26"/>
          <w:szCs w:val="26"/>
        </w:rPr>
        <w:t>dos mil dieci</w:t>
      </w:r>
      <w:r w:rsidR="00715E46">
        <w:rPr>
          <w:rFonts w:ascii="Arial" w:hAnsi="Arial" w:cs="Arial"/>
          <w:sz w:val="26"/>
          <w:szCs w:val="26"/>
        </w:rPr>
        <w:t>nueve</w:t>
      </w:r>
      <w:r>
        <w:rPr>
          <w:rFonts w:ascii="Arial" w:hAnsi="Arial" w:cs="Arial"/>
          <w:bCs/>
          <w:iCs/>
          <w:sz w:val="26"/>
          <w:szCs w:val="26"/>
        </w:rPr>
        <w:t xml:space="preserve">, dictada </w:t>
      </w:r>
      <w:r w:rsidRPr="00CB6405">
        <w:rPr>
          <w:rFonts w:ascii="Arial" w:hAnsi="Arial" w:cs="Arial"/>
          <w:bCs/>
          <w:iCs/>
          <w:sz w:val="26"/>
          <w:szCs w:val="26"/>
        </w:rPr>
        <w:t xml:space="preserve">por la </w:t>
      </w:r>
      <w:r w:rsidR="00715E46">
        <w:rPr>
          <w:rFonts w:ascii="Arial" w:hAnsi="Arial" w:cs="Arial"/>
          <w:bCs/>
          <w:iCs/>
          <w:sz w:val="26"/>
          <w:szCs w:val="26"/>
        </w:rPr>
        <w:t xml:space="preserve">Tercera </w:t>
      </w:r>
      <w:r w:rsidRPr="00CB6405">
        <w:rPr>
          <w:rFonts w:ascii="Arial" w:hAnsi="Arial" w:cs="Arial"/>
          <w:bCs/>
          <w:iCs/>
          <w:sz w:val="26"/>
          <w:szCs w:val="26"/>
        </w:rPr>
        <w:t xml:space="preserve">Sala Unitaria de Primera Instancia de este Tribunal, en el expediente </w:t>
      </w:r>
      <w:r w:rsidR="00715E46">
        <w:rPr>
          <w:rFonts w:ascii="Arial" w:hAnsi="Arial" w:cs="Arial"/>
          <w:b/>
          <w:bCs/>
          <w:iCs/>
          <w:sz w:val="26"/>
          <w:szCs w:val="26"/>
        </w:rPr>
        <w:t>096</w:t>
      </w:r>
      <w:r>
        <w:rPr>
          <w:rFonts w:ascii="Arial" w:hAnsi="Arial" w:cs="Arial"/>
          <w:b/>
          <w:bCs/>
          <w:iCs/>
          <w:sz w:val="26"/>
          <w:szCs w:val="26"/>
        </w:rPr>
        <w:t>/201</w:t>
      </w:r>
      <w:r w:rsidR="00715E46">
        <w:rPr>
          <w:rFonts w:ascii="Arial" w:hAnsi="Arial" w:cs="Arial"/>
          <w:b/>
          <w:bCs/>
          <w:iCs/>
          <w:sz w:val="26"/>
          <w:szCs w:val="26"/>
        </w:rPr>
        <w:t>8</w:t>
      </w:r>
      <w:r w:rsidRPr="00CB6405">
        <w:rPr>
          <w:rFonts w:ascii="Arial" w:hAnsi="Arial" w:cs="Arial"/>
          <w:sz w:val="26"/>
          <w:szCs w:val="26"/>
        </w:rPr>
        <w:t>.</w:t>
      </w:r>
    </w:p>
    <w:p w:rsidR="00736666" w:rsidRDefault="00736666" w:rsidP="00736666">
      <w:pPr>
        <w:pStyle w:val="NormalWeb"/>
        <w:spacing w:line="360" w:lineRule="auto"/>
        <w:ind w:firstLine="708"/>
        <w:jc w:val="both"/>
        <w:rPr>
          <w:rFonts w:ascii="Arial" w:eastAsia="Calibri"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sidRPr="00372D3D">
        <w:rPr>
          <w:rFonts w:ascii="Arial" w:eastAsia="Calibri" w:hAnsi="Arial" w:cs="Arial"/>
          <w:b/>
          <w:bCs/>
          <w:sz w:val="26"/>
          <w:szCs w:val="26"/>
        </w:rPr>
        <w:t xml:space="preserve"> </w:t>
      </w:r>
      <w:r w:rsidRPr="00D75DC7">
        <w:rPr>
          <w:rFonts w:ascii="Arial" w:eastAsia="Calibri" w:hAnsi="Arial" w:cs="Arial"/>
          <w:bCs/>
          <w:sz w:val="26"/>
          <w:szCs w:val="26"/>
        </w:rPr>
        <w:t>E</w:t>
      </w:r>
      <w:r>
        <w:rPr>
          <w:rFonts w:ascii="Arial" w:eastAsia="Calibri" w:hAnsi="Arial" w:cs="Arial"/>
          <w:bCs/>
          <w:sz w:val="26"/>
          <w:szCs w:val="26"/>
        </w:rPr>
        <w:t>l artículo 236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de la Ley de Procedimiento y Justicia Administrativa para el Estado de Oaxaca, establece que los acuerdos y resoluciones de la primera instancia, podrán ser impugnadas por las partes; y, de conformidad con lo estatuido por el artículo 163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de la Ley de la materia, son partes en el juicio contencioso; el actor, la autoridad demandada y el tercero afectado.</w:t>
      </w:r>
    </w:p>
    <w:p w:rsidR="00736666" w:rsidRDefault="00736666" w:rsidP="00736666">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Ahora, de constancias que integran el expediente de Primera Instancia, </w:t>
      </w:r>
      <w:r w:rsidR="00715E46">
        <w:rPr>
          <w:rFonts w:ascii="Arial" w:eastAsia="Calibri" w:hAnsi="Arial" w:cs="Arial"/>
          <w:bCs/>
          <w:sz w:val="26"/>
          <w:szCs w:val="26"/>
        </w:rPr>
        <w:t xml:space="preserve">a las que por tratarse de actuaciones judiciales </w:t>
      </w:r>
      <w:r w:rsidR="00715E46">
        <w:rPr>
          <w:rFonts w:ascii="Arial" w:hAnsi="Arial" w:cs="Arial"/>
          <w:color w:val="000000"/>
          <w:sz w:val="26"/>
          <w:szCs w:val="26"/>
        </w:rPr>
        <w:t>se les otorga pleno valor probatorio conforme lo establece el artículo 203 fracción I</w:t>
      </w:r>
      <w:r w:rsidR="00715E46">
        <w:rPr>
          <w:rStyle w:val="Refdenotaalpie"/>
          <w:rFonts w:ascii="Arial" w:hAnsi="Arial" w:cs="Arial"/>
          <w:color w:val="000000"/>
          <w:sz w:val="26"/>
          <w:szCs w:val="26"/>
        </w:rPr>
        <w:footnoteReference w:id="3"/>
      </w:r>
      <w:r w:rsidR="00715E46">
        <w:rPr>
          <w:rFonts w:ascii="Arial" w:hAnsi="Arial" w:cs="Arial"/>
          <w:color w:val="000000"/>
          <w:sz w:val="26"/>
          <w:szCs w:val="26"/>
        </w:rPr>
        <w:t xml:space="preserve"> de la Ley de Procedimientos y Justicia Administrativa para el Estado de Oaxaca, </w:t>
      </w:r>
      <w:r>
        <w:rPr>
          <w:rFonts w:ascii="Arial" w:eastAsia="Calibri" w:hAnsi="Arial" w:cs="Arial"/>
          <w:bCs/>
          <w:sz w:val="26"/>
          <w:szCs w:val="26"/>
        </w:rPr>
        <w:t xml:space="preserve">se observa que la </w:t>
      </w:r>
      <w:r w:rsidRPr="00736666">
        <w:rPr>
          <w:rFonts w:ascii="Arial" w:hAnsi="Arial" w:cs="Arial"/>
          <w:sz w:val="26"/>
          <w:szCs w:val="26"/>
        </w:rPr>
        <w:t xml:space="preserve">Recaudadora </w:t>
      </w:r>
      <w:r>
        <w:rPr>
          <w:rFonts w:ascii="Arial" w:hAnsi="Arial" w:cs="Arial"/>
          <w:sz w:val="26"/>
          <w:szCs w:val="26"/>
        </w:rPr>
        <w:t>d</w:t>
      </w:r>
      <w:r w:rsidRPr="00736666">
        <w:rPr>
          <w:rFonts w:ascii="Arial" w:hAnsi="Arial" w:cs="Arial"/>
          <w:sz w:val="26"/>
          <w:szCs w:val="26"/>
        </w:rPr>
        <w:t xml:space="preserve">e Rentas </w:t>
      </w:r>
      <w:r w:rsidR="00715E46">
        <w:rPr>
          <w:rFonts w:ascii="Arial" w:hAnsi="Arial" w:cs="Arial"/>
          <w:sz w:val="26"/>
          <w:szCs w:val="26"/>
        </w:rPr>
        <w:t>de la Coordinación de Finanzas y Administración</w:t>
      </w:r>
      <w:r w:rsidRPr="00736666">
        <w:rPr>
          <w:rFonts w:ascii="Arial" w:hAnsi="Arial" w:cs="Arial"/>
          <w:sz w:val="26"/>
          <w:szCs w:val="26"/>
        </w:rPr>
        <w:t xml:space="preserve"> </w:t>
      </w:r>
      <w:r>
        <w:rPr>
          <w:rFonts w:ascii="Arial" w:hAnsi="Arial" w:cs="Arial"/>
          <w:sz w:val="26"/>
          <w:szCs w:val="26"/>
        </w:rPr>
        <w:t>d</w:t>
      </w:r>
      <w:r w:rsidRPr="00736666">
        <w:rPr>
          <w:rFonts w:ascii="Arial" w:hAnsi="Arial" w:cs="Arial"/>
          <w:sz w:val="26"/>
          <w:szCs w:val="26"/>
        </w:rPr>
        <w:t>e Oaxaca</w:t>
      </w:r>
      <w:r>
        <w:rPr>
          <w:rFonts w:ascii="Arial" w:eastAsia="Calibri" w:hAnsi="Arial" w:cs="Arial"/>
          <w:bCs/>
          <w:sz w:val="26"/>
          <w:szCs w:val="26"/>
        </w:rPr>
        <w:t xml:space="preserve">, es autoridad demandada; sin embargo, el acto impugnado y del cual se declaró su nulidad lo constituye el acta de infracción folio </w:t>
      </w:r>
      <w:r w:rsidR="00B97FBC">
        <w:rPr>
          <w:rFonts w:ascii="Arial" w:hAnsi="Arial" w:cs="Arial"/>
          <w:b/>
          <w:sz w:val="26"/>
          <w:szCs w:val="26"/>
        </w:rPr>
        <w:t>**********</w:t>
      </w:r>
      <w:r>
        <w:rPr>
          <w:rFonts w:ascii="Arial" w:eastAsia="Calibri" w:hAnsi="Arial" w:cs="Arial"/>
          <w:bCs/>
          <w:sz w:val="26"/>
          <w:szCs w:val="26"/>
        </w:rPr>
        <w:t xml:space="preserve"> de veinti</w:t>
      </w:r>
      <w:r w:rsidR="00715E46">
        <w:rPr>
          <w:rFonts w:ascii="Arial" w:eastAsia="Calibri" w:hAnsi="Arial" w:cs="Arial"/>
          <w:bCs/>
          <w:sz w:val="26"/>
          <w:szCs w:val="26"/>
        </w:rPr>
        <w:t>cinco de septiembre de dos mil dieciocho</w:t>
      </w:r>
      <w:r>
        <w:rPr>
          <w:rFonts w:ascii="Arial" w:eastAsia="Calibri" w:hAnsi="Arial" w:cs="Arial"/>
          <w:bCs/>
          <w:sz w:val="26"/>
          <w:szCs w:val="26"/>
        </w:rPr>
        <w:t>.</w:t>
      </w:r>
    </w:p>
    <w:p w:rsidR="00736666" w:rsidRDefault="00736666" w:rsidP="00736666">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w:t>
      </w:r>
      <w:r w:rsidR="00715E46">
        <w:rPr>
          <w:rFonts w:ascii="Arial" w:eastAsia="Calibri" w:hAnsi="Arial" w:cs="Arial"/>
          <w:bCs/>
          <w:sz w:val="26"/>
          <w:szCs w:val="26"/>
        </w:rPr>
        <w:t>ial con número estadístico PV-178</w:t>
      </w:r>
      <w:r>
        <w:rPr>
          <w:rFonts w:ascii="Arial" w:eastAsia="Calibri" w:hAnsi="Arial" w:cs="Arial"/>
          <w:bCs/>
          <w:sz w:val="26"/>
          <w:szCs w:val="26"/>
        </w:rPr>
        <w:t xml:space="preserve">, adscrito a la Comisaría de Vialidad Municipal de Oaxaca de Juárez, Oaxaca; de donde, aun cuando </w:t>
      </w:r>
      <w:r w:rsidR="00715E46">
        <w:rPr>
          <w:rFonts w:ascii="Arial" w:eastAsia="Calibri" w:hAnsi="Arial" w:cs="Arial"/>
          <w:bCs/>
          <w:sz w:val="26"/>
          <w:szCs w:val="26"/>
        </w:rPr>
        <w:t xml:space="preserve">la </w:t>
      </w:r>
      <w:r w:rsidR="00715E46" w:rsidRPr="00736666">
        <w:rPr>
          <w:rFonts w:ascii="Arial" w:hAnsi="Arial" w:cs="Arial"/>
          <w:sz w:val="26"/>
          <w:szCs w:val="26"/>
        </w:rPr>
        <w:t xml:space="preserve">Recaudadora </w:t>
      </w:r>
      <w:r w:rsidR="00715E46">
        <w:rPr>
          <w:rFonts w:ascii="Arial" w:hAnsi="Arial" w:cs="Arial"/>
          <w:sz w:val="26"/>
          <w:szCs w:val="26"/>
        </w:rPr>
        <w:t>d</w:t>
      </w:r>
      <w:r w:rsidR="00715E46" w:rsidRPr="00736666">
        <w:rPr>
          <w:rFonts w:ascii="Arial" w:hAnsi="Arial" w:cs="Arial"/>
          <w:sz w:val="26"/>
          <w:szCs w:val="26"/>
        </w:rPr>
        <w:t xml:space="preserve">e Rentas </w:t>
      </w:r>
      <w:r w:rsidR="00715E46">
        <w:rPr>
          <w:rFonts w:ascii="Arial" w:hAnsi="Arial" w:cs="Arial"/>
          <w:sz w:val="26"/>
          <w:szCs w:val="26"/>
        </w:rPr>
        <w:t>de la Coordinación de Finanzas y Administración</w:t>
      </w:r>
      <w:r w:rsidR="00715E46" w:rsidRPr="00736666">
        <w:rPr>
          <w:rFonts w:ascii="Arial" w:hAnsi="Arial" w:cs="Arial"/>
          <w:sz w:val="26"/>
          <w:szCs w:val="26"/>
        </w:rPr>
        <w:t xml:space="preserve"> </w:t>
      </w:r>
      <w:r w:rsidR="00715E46">
        <w:rPr>
          <w:rFonts w:ascii="Arial" w:hAnsi="Arial" w:cs="Arial"/>
          <w:sz w:val="26"/>
          <w:szCs w:val="26"/>
        </w:rPr>
        <w:t>d</w:t>
      </w:r>
      <w:r w:rsidR="00715E46" w:rsidRPr="00736666">
        <w:rPr>
          <w:rFonts w:ascii="Arial" w:hAnsi="Arial" w:cs="Arial"/>
          <w:sz w:val="26"/>
          <w:szCs w:val="26"/>
        </w:rPr>
        <w:t>e Oaxaca</w:t>
      </w:r>
      <w:r>
        <w:rPr>
          <w:rFonts w:ascii="Arial" w:eastAsia="Calibri" w:hAnsi="Arial" w:cs="Arial"/>
          <w:bCs/>
          <w:sz w:val="26"/>
          <w:szCs w:val="26"/>
        </w:rPr>
        <w:t>, fue autoridad demandada, lo cierto es que</w:t>
      </w:r>
      <w:r w:rsidR="004E48C4">
        <w:rPr>
          <w:rFonts w:ascii="Arial" w:eastAsia="Calibri" w:hAnsi="Arial" w:cs="Arial"/>
          <w:bCs/>
          <w:sz w:val="26"/>
          <w:szCs w:val="26"/>
        </w:rPr>
        <w:t xml:space="preserve"> la recur</w:t>
      </w:r>
      <w:r w:rsidR="000C3EBE">
        <w:rPr>
          <w:rFonts w:ascii="Arial" w:eastAsia="Calibri" w:hAnsi="Arial" w:cs="Arial"/>
          <w:bCs/>
          <w:sz w:val="26"/>
          <w:szCs w:val="26"/>
        </w:rPr>
        <w:t>r</w:t>
      </w:r>
      <w:r w:rsidR="004E48C4">
        <w:rPr>
          <w:rFonts w:ascii="Arial" w:eastAsia="Calibri" w:hAnsi="Arial" w:cs="Arial"/>
          <w:bCs/>
          <w:sz w:val="26"/>
          <w:szCs w:val="26"/>
        </w:rPr>
        <w:t>ente</w:t>
      </w:r>
      <w:r>
        <w:rPr>
          <w:rFonts w:ascii="Arial" w:eastAsia="Calibri" w:hAnsi="Arial" w:cs="Arial"/>
          <w:bCs/>
          <w:sz w:val="26"/>
          <w:szCs w:val="26"/>
        </w:rPr>
        <w:t>, no cuenta con legitimación para impugnar la determinación de declarar nulo ese acto de autoridad diversa.</w:t>
      </w:r>
    </w:p>
    <w:p w:rsidR="00736666" w:rsidRDefault="00736666" w:rsidP="00736666">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736666" w:rsidRDefault="00736666" w:rsidP="00736666">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De tal manera, que si como sucede en la especie, la nulidad decretada fue respecto del acta de infracción levantada por el Policía Vial con número estadístico</w:t>
      </w:r>
      <w:r w:rsidRPr="007D55DA">
        <w:rPr>
          <w:rFonts w:ascii="Arial" w:eastAsia="Calibri" w:hAnsi="Arial" w:cs="Arial"/>
          <w:bCs/>
          <w:sz w:val="26"/>
          <w:szCs w:val="26"/>
        </w:rPr>
        <w:t xml:space="preserve"> </w:t>
      </w:r>
      <w:r>
        <w:rPr>
          <w:rFonts w:ascii="Arial" w:eastAsia="Calibri" w:hAnsi="Arial" w:cs="Arial"/>
          <w:bCs/>
          <w:sz w:val="26"/>
          <w:szCs w:val="26"/>
        </w:rPr>
        <w:t>PV-1</w:t>
      </w:r>
      <w:r w:rsidR="00715E46">
        <w:rPr>
          <w:rFonts w:ascii="Arial" w:eastAsia="Calibri" w:hAnsi="Arial" w:cs="Arial"/>
          <w:bCs/>
          <w:sz w:val="26"/>
          <w:szCs w:val="26"/>
        </w:rPr>
        <w:t>78</w:t>
      </w:r>
      <w:r>
        <w:rPr>
          <w:rFonts w:ascii="Arial" w:eastAsia="Calibri" w:hAnsi="Arial" w:cs="Arial"/>
          <w:bCs/>
          <w:sz w:val="26"/>
          <w:szCs w:val="26"/>
        </w:rPr>
        <w:t>, de la Comisaría de Vialidad Municipal de Oaxaca de Juárez, Oaxaca, sólo a dicha autoridad corresponde la legitimación para impugnarla en lo atinente a tal declaración de nulidad y sus efectos.</w:t>
      </w:r>
    </w:p>
    <w:p w:rsidR="00736666" w:rsidRDefault="00736666" w:rsidP="00736666">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lastRenderedPageBreak/>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736666" w:rsidRDefault="00736666" w:rsidP="00736666">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736666" w:rsidRPr="009632BE" w:rsidRDefault="00736666" w:rsidP="00736666">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causam.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causam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 xml:space="preserve">VI.3o.C. J/67 que se encuentra publicada en el Semanario Judicial de la Federación y su </w:t>
      </w:r>
      <w:r w:rsidRPr="009632BE">
        <w:rPr>
          <w:rFonts w:ascii="Arial" w:hAnsi="Arial" w:cs="Arial"/>
          <w:sz w:val="26"/>
          <w:szCs w:val="26"/>
        </w:rPr>
        <w:lastRenderedPageBreak/>
        <w:t>Gaceta Tomo XXVIII, de Julio de 2008 y visible a página 1600 con el rubro y texto del tenor literal siguiente:</w:t>
      </w:r>
      <w:r>
        <w:rPr>
          <w:rFonts w:ascii="Arial" w:hAnsi="Arial" w:cs="Arial"/>
          <w:sz w:val="26"/>
          <w:szCs w:val="26"/>
        </w:rPr>
        <w:t xml:space="preserve"> </w:t>
      </w:r>
    </w:p>
    <w:p w:rsidR="00736666" w:rsidRPr="00807D70" w:rsidRDefault="00736666" w:rsidP="00736666">
      <w:pPr>
        <w:spacing w:after="0"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 </w:t>
      </w:r>
    </w:p>
    <w:p w:rsidR="00736666" w:rsidRPr="009632BE" w:rsidRDefault="00736666" w:rsidP="00736666">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736666" w:rsidRPr="00807D70" w:rsidRDefault="00736666" w:rsidP="00736666">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se produce cuando el derecho que se cuestionará en el juicio es ejercitado en el proceso por quien tiene aptitud para hacerlo valer, a diferencia de la legitimación ad causam que implica tener la titularidad de ese derecho </w:t>
      </w:r>
      <w:r w:rsidRPr="00807D70">
        <w:rPr>
          <w:rFonts w:ascii="Arial" w:hAnsi="Arial" w:cs="Arial"/>
          <w:i/>
          <w:sz w:val="24"/>
          <w:szCs w:val="24"/>
        </w:rPr>
        <w:lastRenderedPageBreak/>
        <w:t xml:space="preserve">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causam, lo es para que se pronuncie sentencia favorable.”</w:t>
      </w:r>
    </w:p>
    <w:p w:rsidR="00736666" w:rsidRDefault="00736666" w:rsidP="00736666">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ante las anteriores consideraciones, procede </w:t>
      </w:r>
      <w:r w:rsidRPr="0053094B">
        <w:rPr>
          <w:rFonts w:ascii="Arial" w:eastAsia="Calibri" w:hAnsi="Arial" w:cs="Arial"/>
          <w:b/>
          <w:bCs/>
          <w:sz w:val="26"/>
          <w:szCs w:val="26"/>
        </w:rPr>
        <w:t>DESECHAR</w:t>
      </w:r>
      <w:r>
        <w:rPr>
          <w:rFonts w:ascii="Arial" w:eastAsia="Calibri" w:hAnsi="Arial" w:cs="Arial"/>
          <w:bCs/>
          <w:sz w:val="26"/>
          <w:szCs w:val="26"/>
        </w:rPr>
        <w:t xml:space="preserve"> el presente recurso de revisión, al no estar legitimada la recurrente para impugnar la sentencia en los términos planteados y </w:t>
      </w:r>
      <w:r>
        <w:rPr>
          <w:rFonts w:ascii="Arial" w:hAnsi="Arial" w:cs="Arial"/>
          <w:sz w:val="26"/>
          <w:szCs w:val="26"/>
        </w:rPr>
        <w:t>con fundamento en los artículos 237 y 238 de la Ley de Procedimiento y Justicia Administrativa para el Estado, se:</w:t>
      </w:r>
    </w:p>
    <w:p w:rsidR="00736666" w:rsidRDefault="00736666" w:rsidP="00736666">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736666" w:rsidRDefault="00736666" w:rsidP="00736666">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736666" w:rsidRDefault="00736666" w:rsidP="00736666">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tab/>
      </w: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715E46">
        <w:rPr>
          <w:rFonts w:ascii="Arial" w:hAnsi="Arial" w:cs="Arial"/>
          <w:sz w:val="26"/>
          <w:szCs w:val="26"/>
        </w:rPr>
        <w:t xml:space="preserve">Tercera </w:t>
      </w:r>
      <w:r>
        <w:rPr>
          <w:rFonts w:ascii="Arial" w:hAnsi="Arial" w:cs="Arial"/>
          <w:sz w:val="26"/>
          <w:szCs w:val="26"/>
        </w:rPr>
        <w:t>Sala Unitaria de Primera Instancia de este Tribunal y en su oportunidad archívese el presente cuaderno de revisión como asunto concluido.</w:t>
      </w:r>
    </w:p>
    <w:p w:rsidR="00656734" w:rsidRPr="00745144" w:rsidRDefault="00656734" w:rsidP="00656734">
      <w:pPr>
        <w:pStyle w:val="corte4fondo"/>
        <w:tabs>
          <w:tab w:val="left" w:pos="0"/>
        </w:tabs>
        <w:ind w:right="51" w:firstLine="0"/>
        <w:rPr>
          <w:rFonts w:eastAsia="Calibri"/>
          <w:sz w:val="26"/>
          <w:szCs w:val="26"/>
        </w:rPr>
      </w:pPr>
      <w:r w:rsidRPr="00745144">
        <w:rPr>
          <w:rFonts w:eastAsia="Calibri"/>
          <w:sz w:val="26"/>
          <w:szCs w:val="26"/>
        </w:rPr>
        <w:t xml:space="preserve">Así por </w:t>
      </w:r>
      <w:r>
        <w:rPr>
          <w:rFonts w:eastAsia="Calibri"/>
          <w:sz w:val="26"/>
          <w:szCs w:val="26"/>
        </w:rPr>
        <w:t xml:space="preserve">unanimidad </w:t>
      </w:r>
      <w:r w:rsidRPr="00745144">
        <w:rPr>
          <w:rFonts w:eastAsia="Calibri"/>
          <w:sz w:val="26"/>
          <w:szCs w:val="26"/>
        </w:rPr>
        <w:t>de votos, lo resolvieron y firmaron los Magistrados integrantes de la Sala Superior del Tribunal de Justi</w:t>
      </w:r>
      <w:r>
        <w:rPr>
          <w:rFonts w:eastAsia="Calibri"/>
          <w:sz w:val="26"/>
          <w:szCs w:val="26"/>
        </w:rPr>
        <w:t xml:space="preserve">cia Administrativa del Estado, </w:t>
      </w:r>
      <w:r w:rsidRPr="00745144">
        <w:rPr>
          <w:rFonts w:eastAsia="Calibri"/>
          <w:sz w:val="26"/>
          <w:szCs w:val="26"/>
        </w:rPr>
        <w:t>quienes actúan con la Secretaria General de Acuerdos de este Tribunal, que autoriza y da fe.</w:t>
      </w:r>
    </w:p>
    <w:p w:rsidR="00656734" w:rsidRPr="00C10385" w:rsidRDefault="00656734" w:rsidP="00656734">
      <w:pPr>
        <w:spacing w:line="360" w:lineRule="auto"/>
        <w:rPr>
          <w:rFonts w:ascii="Arial" w:hAnsi="Arial" w:cs="Arial"/>
          <w:sz w:val="26"/>
          <w:szCs w:val="26"/>
          <w:lang w:val="es-ES_tradnl"/>
        </w:rPr>
      </w:pPr>
    </w:p>
    <w:p w:rsidR="00656734" w:rsidRPr="00120AC3" w:rsidRDefault="00656734" w:rsidP="00656734">
      <w:pPr>
        <w:spacing w:line="360" w:lineRule="auto"/>
        <w:rPr>
          <w:rFonts w:ascii="Arial" w:hAnsi="Arial" w:cs="Arial"/>
          <w:sz w:val="26"/>
          <w:szCs w:val="26"/>
          <w:lang w:val="es-ES_tradnl"/>
        </w:rPr>
      </w:pPr>
    </w:p>
    <w:p w:rsidR="00656734" w:rsidRDefault="00656734" w:rsidP="00656734">
      <w:pPr>
        <w:spacing w:line="360" w:lineRule="auto"/>
        <w:rPr>
          <w:rFonts w:ascii="Arial" w:hAnsi="Arial" w:cs="Arial"/>
          <w:sz w:val="26"/>
          <w:szCs w:val="26"/>
        </w:rPr>
      </w:pPr>
    </w:p>
    <w:p w:rsidR="00656734" w:rsidRDefault="00656734" w:rsidP="00656734">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656734" w:rsidRDefault="00656734" w:rsidP="00656734">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656734" w:rsidRPr="009803CF" w:rsidRDefault="00656734" w:rsidP="00656734">
      <w:pPr>
        <w:spacing w:after="0" w:line="360" w:lineRule="auto"/>
        <w:rPr>
          <w:rFonts w:ascii="Arial" w:eastAsiaTheme="minorEastAsia" w:hAnsi="Arial" w:cs="Arial"/>
          <w:sz w:val="26"/>
          <w:szCs w:val="26"/>
          <w:lang w:eastAsia="es-MX"/>
        </w:rPr>
      </w:pPr>
    </w:p>
    <w:p w:rsidR="00656734" w:rsidRPr="009803CF" w:rsidRDefault="00656734" w:rsidP="00656734">
      <w:pPr>
        <w:spacing w:after="0" w:line="360" w:lineRule="auto"/>
        <w:rPr>
          <w:rFonts w:ascii="Arial" w:eastAsiaTheme="minorEastAsia" w:hAnsi="Arial" w:cs="Arial"/>
          <w:sz w:val="26"/>
          <w:szCs w:val="26"/>
          <w:lang w:eastAsia="es-MX"/>
        </w:rPr>
      </w:pPr>
    </w:p>
    <w:p w:rsidR="00656734" w:rsidRDefault="00656734" w:rsidP="00656734">
      <w:pPr>
        <w:spacing w:after="0" w:line="360" w:lineRule="auto"/>
        <w:rPr>
          <w:rFonts w:ascii="Arial" w:eastAsiaTheme="minorEastAsia" w:hAnsi="Arial" w:cs="Arial"/>
          <w:sz w:val="26"/>
          <w:szCs w:val="26"/>
          <w:lang w:val="es-MX" w:eastAsia="es-MX"/>
        </w:rPr>
      </w:pPr>
    </w:p>
    <w:p w:rsidR="00656734" w:rsidRDefault="00656734" w:rsidP="00656734">
      <w:pPr>
        <w:spacing w:after="0" w:line="360" w:lineRule="auto"/>
        <w:rPr>
          <w:rFonts w:ascii="Arial" w:eastAsiaTheme="minorEastAsia" w:hAnsi="Arial" w:cs="Arial"/>
          <w:sz w:val="26"/>
          <w:szCs w:val="26"/>
          <w:lang w:val="es-MX" w:eastAsia="es-MX"/>
        </w:rPr>
      </w:pPr>
    </w:p>
    <w:p w:rsidR="00656734" w:rsidRDefault="00656734" w:rsidP="00656734">
      <w:pPr>
        <w:spacing w:after="0" w:line="360" w:lineRule="auto"/>
        <w:rPr>
          <w:rFonts w:ascii="Arial" w:eastAsiaTheme="minorEastAsia" w:hAnsi="Arial" w:cs="Arial"/>
          <w:sz w:val="26"/>
          <w:szCs w:val="26"/>
          <w:lang w:val="es-MX" w:eastAsia="es-MX"/>
        </w:rPr>
      </w:pPr>
    </w:p>
    <w:p w:rsidR="00656734" w:rsidRDefault="00656734" w:rsidP="00656734">
      <w:pPr>
        <w:spacing w:after="0" w:line="360" w:lineRule="auto"/>
        <w:rPr>
          <w:rFonts w:ascii="Arial" w:eastAsiaTheme="minorEastAsia" w:hAnsi="Arial" w:cs="Arial"/>
          <w:sz w:val="26"/>
          <w:szCs w:val="26"/>
          <w:lang w:val="es-MX" w:eastAsia="es-MX"/>
        </w:rPr>
      </w:pPr>
    </w:p>
    <w:p w:rsidR="00656734" w:rsidRPr="00120AC3" w:rsidRDefault="00656734" w:rsidP="00120AC3">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656734" w:rsidRDefault="00656734" w:rsidP="00656734">
      <w:pPr>
        <w:spacing w:after="0" w:line="360" w:lineRule="auto"/>
        <w:rPr>
          <w:rFonts w:ascii="Arial" w:eastAsia="Calibri" w:hAnsi="Arial" w:cs="Arial"/>
          <w:sz w:val="26"/>
          <w:szCs w:val="26"/>
        </w:rPr>
      </w:pPr>
    </w:p>
    <w:p w:rsidR="00656734" w:rsidRPr="00DA3B49" w:rsidRDefault="00656734" w:rsidP="00656734">
      <w:pPr>
        <w:spacing w:after="0" w:line="360" w:lineRule="auto"/>
        <w:jc w:val="center"/>
        <w:rPr>
          <w:rFonts w:ascii="Arial" w:eastAsia="Calibri" w:hAnsi="Arial" w:cs="Arial"/>
          <w:b/>
          <w:sz w:val="14"/>
          <w:szCs w:val="26"/>
        </w:rPr>
      </w:pPr>
      <w:r w:rsidRPr="00DA3B49">
        <w:rPr>
          <w:rFonts w:ascii="Arial" w:eastAsia="Calibri" w:hAnsi="Arial" w:cs="Arial"/>
          <w:b/>
          <w:sz w:val="14"/>
          <w:szCs w:val="26"/>
        </w:rPr>
        <w:t>LAS PRESENTES FIRMAS CORRESP</w:t>
      </w:r>
      <w:r>
        <w:rPr>
          <w:rFonts w:ascii="Arial" w:eastAsia="Calibri" w:hAnsi="Arial" w:cs="Arial"/>
          <w:b/>
          <w:sz w:val="14"/>
          <w:szCs w:val="26"/>
        </w:rPr>
        <w:t>ONDEN AL RECURSO DE REVISIÓN 147/2019</w:t>
      </w:r>
    </w:p>
    <w:p w:rsidR="00656734" w:rsidRDefault="00656734" w:rsidP="00656734">
      <w:pPr>
        <w:spacing w:after="0" w:line="360" w:lineRule="auto"/>
        <w:jc w:val="center"/>
        <w:rPr>
          <w:rFonts w:ascii="Arial" w:eastAsia="Calibri" w:hAnsi="Arial" w:cs="Arial"/>
          <w:sz w:val="26"/>
          <w:szCs w:val="26"/>
        </w:rPr>
      </w:pPr>
    </w:p>
    <w:p w:rsidR="00656734" w:rsidRDefault="00656734" w:rsidP="00656734">
      <w:pPr>
        <w:spacing w:after="0" w:line="360" w:lineRule="auto"/>
        <w:jc w:val="center"/>
        <w:rPr>
          <w:rFonts w:ascii="Arial" w:eastAsia="Calibri" w:hAnsi="Arial" w:cs="Arial"/>
          <w:sz w:val="26"/>
          <w:szCs w:val="26"/>
        </w:rPr>
      </w:pPr>
    </w:p>
    <w:p w:rsidR="00656734" w:rsidRDefault="00656734" w:rsidP="00656734">
      <w:pPr>
        <w:spacing w:after="0" w:line="360" w:lineRule="auto"/>
        <w:jc w:val="center"/>
        <w:rPr>
          <w:rFonts w:ascii="Arial" w:eastAsia="Calibri" w:hAnsi="Arial" w:cs="Arial"/>
          <w:sz w:val="26"/>
          <w:szCs w:val="26"/>
        </w:rPr>
      </w:pPr>
    </w:p>
    <w:p w:rsidR="00656734" w:rsidRDefault="00656734" w:rsidP="00656734">
      <w:pPr>
        <w:spacing w:after="0" w:line="360" w:lineRule="auto"/>
        <w:rPr>
          <w:rFonts w:ascii="Arial" w:eastAsia="Calibri" w:hAnsi="Arial" w:cs="Arial"/>
          <w:sz w:val="26"/>
          <w:szCs w:val="26"/>
        </w:rPr>
      </w:pPr>
    </w:p>
    <w:p w:rsidR="00656734" w:rsidRDefault="00656734" w:rsidP="00656734">
      <w:pPr>
        <w:tabs>
          <w:tab w:val="center" w:pos="4135"/>
          <w:tab w:val="left" w:pos="7515"/>
        </w:tabs>
        <w:spacing w:line="360" w:lineRule="auto"/>
        <w:jc w:val="center"/>
        <w:rPr>
          <w:rFonts w:ascii="Arial" w:hAnsi="Arial" w:cs="Arial"/>
          <w:sz w:val="26"/>
          <w:szCs w:val="26"/>
        </w:rPr>
      </w:pPr>
    </w:p>
    <w:p w:rsidR="00656734" w:rsidRDefault="00656734" w:rsidP="00656734">
      <w:pPr>
        <w:jc w:val="center"/>
        <w:rPr>
          <w:rFonts w:ascii="Arial" w:hAnsi="Arial" w:cs="Arial"/>
          <w:sz w:val="26"/>
          <w:szCs w:val="26"/>
        </w:rPr>
      </w:pPr>
      <w:r>
        <w:rPr>
          <w:rFonts w:ascii="Arial" w:hAnsi="Arial" w:cs="Arial"/>
          <w:sz w:val="26"/>
          <w:szCs w:val="26"/>
        </w:rPr>
        <w:t>MAGISTRADO RAÚL PALOMARES PALOMINO</w:t>
      </w:r>
    </w:p>
    <w:p w:rsidR="00656734" w:rsidRDefault="00656734" w:rsidP="00656734">
      <w:pPr>
        <w:jc w:val="center"/>
        <w:rPr>
          <w:rFonts w:ascii="Arial" w:hAnsi="Arial" w:cs="Arial"/>
          <w:sz w:val="26"/>
          <w:szCs w:val="26"/>
        </w:rPr>
      </w:pPr>
    </w:p>
    <w:p w:rsidR="00656734" w:rsidRDefault="00656734" w:rsidP="00656734">
      <w:pPr>
        <w:jc w:val="center"/>
        <w:rPr>
          <w:rFonts w:ascii="Arial" w:hAnsi="Arial" w:cs="Arial"/>
          <w:sz w:val="26"/>
          <w:szCs w:val="26"/>
        </w:rPr>
      </w:pPr>
    </w:p>
    <w:p w:rsidR="00656734" w:rsidRDefault="00656734" w:rsidP="00656734">
      <w:pPr>
        <w:jc w:val="center"/>
        <w:rPr>
          <w:rFonts w:ascii="Arial" w:hAnsi="Arial" w:cs="Arial"/>
          <w:sz w:val="26"/>
          <w:szCs w:val="26"/>
        </w:rPr>
      </w:pPr>
    </w:p>
    <w:p w:rsidR="00656734" w:rsidRDefault="00656734" w:rsidP="00656734">
      <w:pPr>
        <w:jc w:val="center"/>
        <w:rPr>
          <w:rFonts w:ascii="Arial" w:hAnsi="Arial" w:cs="Arial"/>
          <w:sz w:val="26"/>
          <w:szCs w:val="26"/>
        </w:rPr>
      </w:pPr>
    </w:p>
    <w:p w:rsidR="00656734" w:rsidRDefault="00656734" w:rsidP="00656734">
      <w:pPr>
        <w:jc w:val="center"/>
        <w:rPr>
          <w:rFonts w:ascii="Arial" w:hAnsi="Arial" w:cs="Arial"/>
          <w:sz w:val="26"/>
          <w:szCs w:val="26"/>
        </w:rPr>
      </w:pPr>
    </w:p>
    <w:p w:rsidR="00656734" w:rsidRDefault="00656734" w:rsidP="00656734">
      <w:pPr>
        <w:jc w:val="center"/>
        <w:rPr>
          <w:rFonts w:ascii="Arial" w:hAnsi="Arial" w:cs="Arial"/>
          <w:sz w:val="26"/>
          <w:szCs w:val="26"/>
        </w:rPr>
      </w:pPr>
    </w:p>
    <w:p w:rsidR="00656734" w:rsidRDefault="00656734" w:rsidP="00656734">
      <w:pPr>
        <w:tabs>
          <w:tab w:val="center" w:pos="4135"/>
          <w:tab w:val="left" w:pos="7515"/>
        </w:tabs>
        <w:spacing w:line="360" w:lineRule="auto"/>
        <w:rPr>
          <w:rFonts w:ascii="Arial" w:hAnsi="Arial" w:cs="Arial"/>
          <w:sz w:val="26"/>
          <w:szCs w:val="26"/>
        </w:rPr>
      </w:pPr>
    </w:p>
    <w:p w:rsidR="00656734" w:rsidRDefault="00656734" w:rsidP="00656734">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656734" w:rsidRDefault="00656734" w:rsidP="00656734">
      <w:pPr>
        <w:tabs>
          <w:tab w:val="left" w:pos="1680"/>
          <w:tab w:val="center" w:pos="4277"/>
        </w:tabs>
        <w:spacing w:line="360" w:lineRule="auto"/>
        <w:jc w:val="center"/>
        <w:rPr>
          <w:rFonts w:ascii="Arial" w:hAnsi="Arial" w:cs="Arial"/>
          <w:sz w:val="26"/>
          <w:szCs w:val="26"/>
        </w:rPr>
      </w:pPr>
    </w:p>
    <w:p w:rsidR="00656734" w:rsidRDefault="00656734" w:rsidP="00656734">
      <w:pPr>
        <w:tabs>
          <w:tab w:val="left" w:pos="1680"/>
          <w:tab w:val="center" w:pos="4277"/>
        </w:tabs>
        <w:spacing w:line="360" w:lineRule="auto"/>
        <w:jc w:val="center"/>
        <w:rPr>
          <w:rFonts w:ascii="Arial" w:hAnsi="Arial" w:cs="Arial"/>
          <w:sz w:val="26"/>
          <w:szCs w:val="26"/>
        </w:rPr>
      </w:pPr>
    </w:p>
    <w:p w:rsidR="00656734" w:rsidRDefault="00656734" w:rsidP="00656734">
      <w:pPr>
        <w:tabs>
          <w:tab w:val="left" w:pos="1680"/>
          <w:tab w:val="center" w:pos="4277"/>
        </w:tabs>
        <w:spacing w:line="360" w:lineRule="auto"/>
        <w:jc w:val="center"/>
        <w:rPr>
          <w:rFonts w:ascii="Arial" w:hAnsi="Arial" w:cs="Arial"/>
          <w:sz w:val="26"/>
          <w:szCs w:val="26"/>
        </w:rPr>
      </w:pPr>
    </w:p>
    <w:p w:rsidR="00656734" w:rsidRDefault="00656734" w:rsidP="00656734">
      <w:pPr>
        <w:tabs>
          <w:tab w:val="left" w:pos="1680"/>
          <w:tab w:val="center" w:pos="4277"/>
        </w:tabs>
        <w:spacing w:line="360" w:lineRule="auto"/>
        <w:jc w:val="center"/>
        <w:rPr>
          <w:rFonts w:ascii="Arial" w:hAnsi="Arial" w:cs="Arial"/>
          <w:sz w:val="26"/>
          <w:szCs w:val="26"/>
        </w:rPr>
      </w:pPr>
    </w:p>
    <w:p w:rsidR="00656734" w:rsidRDefault="00656734" w:rsidP="00656734">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656734" w:rsidRDefault="00656734" w:rsidP="00656734">
      <w:pPr>
        <w:tabs>
          <w:tab w:val="left" w:pos="1680"/>
          <w:tab w:val="center" w:pos="4277"/>
        </w:tabs>
        <w:spacing w:line="360" w:lineRule="auto"/>
        <w:jc w:val="center"/>
        <w:rPr>
          <w:rFonts w:ascii="Arial" w:hAnsi="Arial" w:cs="Arial"/>
          <w:sz w:val="26"/>
          <w:szCs w:val="26"/>
        </w:rPr>
      </w:pPr>
    </w:p>
    <w:p w:rsidR="00656734" w:rsidRDefault="00656734" w:rsidP="00656734">
      <w:pPr>
        <w:tabs>
          <w:tab w:val="left" w:pos="1680"/>
          <w:tab w:val="center" w:pos="4277"/>
        </w:tabs>
        <w:spacing w:line="360" w:lineRule="auto"/>
        <w:jc w:val="center"/>
        <w:rPr>
          <w:rFonts w:ascii="Arial" w:hAnsi="Arial" w:cs="Arial"/>
          <w:sz w:val="26"/>
          <w:szCs w:val="26"/>
        </w:rPr>
      </w:pPr>
    </w:p>
    <w:p w:rsidR="00656734" w:rsidRDefault="00656734" w:rsidP="00656734">
      <w:pPr>
        <w:tabs>
          <w:tab w:val="left" w:pos="1680"/>
          <w:tab w:val="center" w:pos="4277"/>
        </w:tabs>
        <w:spacing w:line="360" w:lineRule="auto"/>
        <w:jc w:val="center"/>
        <w:rPr>
          <w:rFonts w:ascii="Arial" w:hAnsi="Arial" w:cs="Arial"/>
          <w:sz w:val="26"/>
          <w:szCs w:val="26"/>
        </w:rPr>
      </w:pPr>
    </w:p>
    <w:p w:rsidR="00656734" w:rsidRDefault="00656734" w:rsidP="00656734">
      <w:pPr>
        <w:jc w:val="center"/>
        <w:rPr>
          <w:rFonts w:ascii="Arial" w:hAnsi="Arial" w:cs="Arial"/>
          <w:sz w:val="26"/>
          <w:szCs w:val="26"/>
        </w:rPr>
      </w:pPr>
    </w:p>
    <w:p w:rsidR="00656734" w:rsidRPr="00ED4360" w:rsidRDefault="00656734" w:rsidP="00656734">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656734" w:rsidRPr="00ED4360" w:rsidRDefault="00656734" w:rsidP="00656734">
      <w:pPr>
        <w:pStyle w:val="Sinespaciado"/>
        <w:jc w:val="center"/>
        <w:rPr>
          <w:rFonts w:ascii="Arial" w:hAnsi="Arial" w:cs="Arial"/>
          <w:sz w:val="26"/>
          <w:szCs w:val="26"/>
        </w:rPr>
      </w:pPr>
      <w:r w:rsidRPr="00ED4360">
        <w:rPr>
          <w:rFonts w:ascii="Arial" w:hAnsi="Arial" w:cs="Arial"/>
          <w:sz w:val="26"/>
          <w:szCs w:val="26"/>
        </w:rPr>
        <w:t>SECRETARIA GENERAL DE ACUERDOS</w:t>
      </w:r>
    </w:p>
    <w:p w:rsidR="00656734" w:rsidRDefault="00656734" w:rsidP="00656734">
      <w:pPr>
        <w:pStyle w:val="Sinespaciado"/>
        <w:jc w:val="center"/>
        <w:rPr>
          <w:rFonts w:ascii="Arial" w:hAnsi="Arial" w:cs="Arial"/>
          <w:sz w:val="26"/>
          <w:szCs w:val="26"/>
        </w:rPr>
      </w:pPr>
    </w:p>
    <w:p w:rsidR="00656734" w:rsidRPr="00ED4360" w:rsidRDefault="00656734" w:rsidP="00656734">
      <w:pPr>
        <w:pStyle w:val="Sinespaciado"/>
        <w:jc w:val="center"/>
        <w:rPr>
          <w:rFonts w:ascii="Arial" w:hAnsi="Arial" w:cs="Arial"/>
          <w:sz w:val="26"/>
          <w:szCs w:val="26"/>
        </w:rPr>
      </w:pPr>
    </w:p>
    <w:p w:rsidR="00736666" w:rsidRDefault="00736666" w:rsidP="00736666">
      <w:pPr>
        <w:jc w:val="center"/>
        <w:rPr>
          <w:sz w:val="26"/>
          <w:szCs w:val="26"/>
        </w:rPr>
      </w:pPr>
    </w:p>
    <w:sectPr w:rsidR="00736666" w:rsidSect="00656734">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57" w:rsidRDefault="003B2757">
      <w:pPr>
        <w:spacing w:after="0" w:line="240" w:lineRule="auto"/>
      </w:pPr>
      <w:r>
        <w:separator/>
      </w:r>
    </w:p>
  </w:endnote>
  <w:endnote w:type="continuationSeparator" w:id="0">
    <w:p w:rsidR="003B2757" w:rsidRDefault="003B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57" w:rsidRDefault="003B2757">
      <w:pPr>
        <w:spacing w:after="0" w:line="240" w:lineRule="auto"/>
      </w:pPr>
      <w:r>
        <w:separator/>
      </w:r>
    </w:p>
  </w:footnote>
  <w:footnote w:type="continuationSeparator" w:id="0">
    <w:p w:rsidR="003B2757" w:rsidRDefault="003B2757">
      <w:pPr>
        <w:spacing w:after="0" w:line="240" w:lineRule="auto"/>
      </w:pPr>
      <w:r>
        <w:continuationSeparator/>
      </w:r>
    </w:p>
  </w:footnote>
  <w:footnote w:id="1">
    <w:p w:rsidR="00736666" w:rsidRPr="009829E3" w:rsidRDefault="00736666" w:rsidP="00736666">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236</w:t>
      </w:r>
      <w:r w:rsidRPr="009829E3">
        <w:rPr>
          <w:rFonts w:ascii="Arial" w:hAnsi="Arial" w:cs="Arial"/>
          <w:sz w:val="18"/>
          <w:szCs w:val="18"/>
        </w:rPr>
        <w:t>.- Contra los acuerdos y resoluciones dictados por los Jueces de Primera Instancia, procede el recurso de revisión, cuyo conocimiento y resolución corresponde a la Sala Superior.</w:t>
      </w:r>
    </w:p>
    <w:p w:rsidR="00736666" w:rsidRPr="009829E3" w:rsidRDefault="00736666" w:rsidP="00736666">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736666" w:rsidRPr="009829E3" w:rsidRDefault="00736666" w:rsidP="00736666">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736666" w:rsidRPr="009829E3" w:rsidRDefault="00736666" w:rsidP="00736666">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w:t>
      </w:r>
      <w:r w:rsidRPr="0045239D">
        <w:rPr>
          <w:rFonts w:ascii="Arial" w:hAnsi="Arial" w:cs="Arial"/>
          <w:b/>
          <w:sz w:val="18"/>
          <w:szCs w:val="18"/>
        </w:rPr>
        <w:t>ARTICULO 163</w:t>
      </w:r>
      <w:r w:rsidRPr="009829E3">
        <w:rPr>
          <w:rFonts w:ascii="Arial" w:hAnsi="Arial" w:cs="Arial"/>
          <w:sz w:val="18"/>
          <w:szCs w:val="18"/>
        </w:rPr>
        <w:t>.- Son partes en el juicio contencioso administrativo:</w:t>
      </w:r>
    </w:p>
    <w:p w:rsidR="00736666" w:rsidRPr="009829E3" w:rsidRDefault="00736666" w:rsidP="00736666">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736666" w:rsidRPr="009829E3" w:rsidRDefault="00736666" w:rsidP="00736666">
      <w:pPr>
        <w:pStyle w:val="Sinespaciado"/>
        <w:rPr>
          <w:rFonts w:ascii="Arial" w:hAnsi="Arial" w:cs="Arial"/>
          <w:sz w:val="18"/>
          <w:szCs w:val="18"/>
        </w:rPr>
      </w:pPr>
      <w:r w:rsidRPr="009829E3">
        <w:rPr>
          <w:rFonts w:ascii="Arial" w:hAnsi="Arial" w:cs="Arial"/>
          <w:sz w:val="18"/>
          <w:szCs w:val="18"/>
        </w:rPr>
        <w:t xml:space="preserve">   …</w:t>
      </w:r>
    </w:p>
    <w:p w:rsidR="00736666" w:rsidRPr="009829E3" w:rsidRDefault="00736666" w:rsidP="00736666">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736666" w:rsidRPr="009829E3" w:rsidRDefault="00736666" w:rsidP="00736666">
      <w:pPr>
        <w:pStyle w:val="Sinespaciado"/>
        <w:rPr>
          <w:rFonts w:ascii="Arial" w:hAnsi="Arial" w:cs="Arial"/>
          <w:sz w:val="18"/>
          <w:szCs w:val="18"/>
        </w:rPr>
      </w:pPr>
      <w:r w:rsidRPr="009829E3">
        <w:rPr>
          <w:rFonts w:ascii="Arial" w:hAnsi="Arial" w:cs="Arial"/>
          <w:sz w:val="18"/>
          <w:szCs w:val="18"/>
        </w:rPr>
        <w:t xml:space="preserve">   ….</w:t>
      </w:r>
    </w:p>
    <w:p w:rsidR="00736666" w:rsidRPr="009829E3" w:rsidRDefault="00736666" w:rsidP="00736666">
      <w:pPr>
        <w:pStyle w:val="Sinespaciado"/>
        <w:rPr>
          <w:sz w:val="18"/>
          <w:szCs w:val="18"/>
        </w:rPr>
      </w:pPr>
      <w:r w:rsidRPr="009829E3">
        <w:rPr>
          <w:rFonts w:ascii="Arial" w:hAnsi="Arial" w:cs="Arial"/>
          <w:sz w:val="18"/>
          <w:szCs w:val="18"/>
        </w:rPr>
        <w:t xml:space="preserve">   III. El tercero afectado, …”</w:t>
      </w:r>
    </w:p>
  </w:footnote>
  <w:footnote w:id="3">
    <w:p w:rsidR="00715E46" w:rsidRDefault="00715E46" w:rsidP="00715E46">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715E46" w:rsidRDefault="00715E46" w:rsidP="00715E46">
      <w:pPr>
        <w:pStyle w:val="Textonotapie"/>
        <w:jc w:val="both"/>
        <w:rPr>
          <w:lang w:val="es-MX"/>
        </w:rPr>
      </w:pPr>
      <w:r>
        <w:rPr>
          <w:lang w:val="es-MX"/>
        </w:rPr>
        <w:t xml:space="preserve">   I. Harán prueba plena la confesión expresa de las partes y los actos contenidos en documentos públicos, si en éstos últimos se conteniente declaraciones de verdad o manifestaciones de hechos de particulares; y</w:t>
      </w:r>
    </w:p>
    <w:p w:rsidR="00715E46" w:rsidRPr="002E365A" w:rsidRDefault="00715E46" w:rsidP="00715E46">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8E20B4" w:rsidRDefault="001472A5" w:rsidP="00D25099">
        <w:pPr>
          <w:pStyle w:val="Encabezado"/>
          <w:jc w:val="center"/>
        </w:pPr>
        <w:r>
          <w:rPr>
            <w:noProof/>
            <w:lang w:val="es-MX" w:eastAsia="es-MX"/>
          </w:rPr>
          <w:drawing>
            <wp:anchor distT="0" distB="0" distL="114300" distR="114300" simplePos="0" relativeHeight="251662336" behindDoc="0" locked="0" layoutInCell="1" allowOverlap="1" wp14:anchorId="279888F3" wp14:editId="21CA8D53">
              <wp:simplePos x="0" y="0"/>
              <wp:positionH relativeFrom="column">
                <wp:posOffset>5676900</wp:posOffset>
              </wp:positionH>
              <wp:positionV relativeFrom="paragraph">
                <wp:posOffset>5352415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8E20B4">
          <w:fldChar w:fldCharType="begin"/>
        </w:r>
        <w:r w:rsidR="008E20B4">
          <w:instrText>PAGE   \* MERGEFORMAT</w:instrText>
        </w:r>
        <w:r w:rsidR="008E20B4">
          <w:fldChar w:fldCharType="separate"/>
        </w:r>
        <w:r w:rsidR="009A1610">
          <w:rPr>
            <w:noProof/>
          </w:rPr>
          <w:t>6</w:t>
        </w:r>
        <w:r w:rsidR="008E20B4">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8E20B4" w:rsidRDefault="008E20B4" w:rsidP="00206B99">
        <w:pPr>
          <w:pStyle w:val="Encabezado"/>
          <w:jc w:val="center"/>
          <w:rPr>
            <w:noProof/>
          </w:rPr>
        </w:pPr>
        <w:r>
          <w:fldChar w:fldCharType="begin"/>
        </w:r>
        <w:r>
          <w:instrText xml:space="preserve"> PAGE   \* MERGEFORMAT </w:instrText>
        </w:r>
        <w:r>
          <w:fldChar w:fldCharType="separate"/>
        </w:r>
        <w:r w:rsidR="009A1610">
          <w:rPr>
            <w:noProof/>
          </w:rPr>
          <w:t>3</w:t>
        </w:r>
        <w:r>
          <w:rPr>
            <w:noProof/>
          </w:rPr>
          <w:fldChar w:fldCharType="end"/>
        </w:r>
      </w:p>
      <w:p w:rsidR="008E20B4" w:rsidRDefault="009A1610" w:rsidP="008C74CA">
        <w:pPr>
          <w:pStyle w:val="Encabezado"/>
          <w:jc w:val="center"/>
        </w:pPr>
      </w:p>
    </w:sdtContent>
  </w:sdt>
  <w:p w:rsidR="008E20B4" w:rsidRDefault="008E20B4" w:rsidP="00256B01">
    <w:pPr>
      <w:pStyle w:val="Encabezado"/>
      <w:jc w:val="center"/>
    </w:pPr>
  </w:p>
  <w:p w:rsidR="008E20B4" w:rsidRDefault="001472A5" w:rsidP="00256B01">
    <w:pPr>
      <w:pStyle w:val="Encabezado"/>
      <w:jc w:val="center"/>
    </w:pPr>
    <w:r>
      <w:rPr>
        <w:noProof/>
        <w:lang w:val="es-MX" w:eastAsia="es-MX"/>
      </w:rPr>
      <w:drawing>
        <wp:anchor distT="0" distB="0" distL="114300" distR="114300" simplePos="0" relativeHeight="251660288" behindDoc="0" locked="0" layoutInCell="1" allowOverlap="1" wp14:anchorId="7BEED180" wp14:editId="13E823A6">
          <wp:simplePos x="0" y="0"/>
          <wp:positionH relativeFrom="column">
            <wp:posOffset>-1152525</wp:posOffset>
          </wp:positionH>
          <wp:positionV relativeFrom="paragraph">
            <wp:posOffset>2967355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8E20B4">
      <w:rPr>
        <w:noProof/>
        <w:lang w:val="es-MX" w:eastAsia="es-MX"/>
      </w:rPr>
      <w:drawing>
        <wp:anchor distT="0" distB="0" distL="114300" distR="114300" simplePos="0" relativeHeight="251658240" behindDoc="1" locked="0" layoutInCell="1" allowOverlap="1" wp14:anchorId="5E8BB93F" wp14:editId="314E905C">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B4" w:rsidRPr="003E6AD7">
      <w:rPr>
        <w:noProof/>
        <w:lang w:val="es-MX" w:eastAsia="es-MX"/>
      </w:rPr>
      <w:drawing>
        <wp:anchor distT="0" distB="0" distL="114300" distR="114300" simplePos="0" relativeHeight="251655168" behindDoc="0" locked="0" layoutInCell="1" allowOverlap="1" wp14:anchorId="2E04F789" wp14:editId="0F98FBA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244"/>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5CD1"/>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DB1"/>
    <w:rsid w:val="000612E4"/>
    <w:rsid w:val="000616B5"/>
    <w:rsid w:val="00061CE8"/>
    <w:rsid w:val="00067E31"/>
    <w:rsid w:val="00070777"/>
    <w:rsid w:val="000737BF"/>
    <w:rsid w:val="0007458B"/>
    <w:rsid w:val="000752E9"/>
    <w:rsid w:val="00076CEA"/>
    <w:rsid w:val="000803AB"/>
    <w:rsid w:val="00081361"/>
    <w:rsid w:val="000822AF"/>
    <w:rsid w:val="00083BEB"/>
    <w:rsid w:val="00085132"/>
    <w:rsid w:val="00085D04"/>
    <w:rsid w:val="00085F69"/>
    <w:rsid w:val="00090B95"/>
    <w:rsid w:val="00094546"/>
    <w:rsid w:val="00095A98"/>
    <w:rsid w:val="0009618C"/>
    <w:rsid w:val="000961D2"/>
    <w:rsid w:val="000967C6"/>
    <w:rsid w:val="000A1494"/>
    <w:rsid w:val="000A2C18"/>
    <w:rsid w:val="000A4E40"/>
    <w:rsid w:val="000A6360"/>
    <w:rsid w:val="000A6EC7"/>
    <w:rsid w:val="000A7BA9"/>
    <w:rsid w:val="000B0E70"/>
    <w:rsid w:val="000B1A06"/>
    <w:rsid w:val="000B2654"/>
    <w:rsid w:val="000B3B3B"/>
    <w:rsid w:val="000B4122"/>
    <w:rsid w:val="000B50D6"/>
    <w:rsid w:val="000C1F7C"/>
    <w:rsid w:val="000C2197"/>
    <w:rsid w:val="000C313C"/>
    <w:rsid w:val="000C3DBF"/>
    <w:rsid w:val="000C3EBE"/>
    <w:rsid w:val="000D0E1D"/>
    <w:rsid w:val="000D1BD0"/>
    <w:rsid w:val="000D29A1"/>
    <w:rsid w:val="000D2FDE"/>
    <w:rsid w:val="000D595D"/>
    <w:rsid w:val="000E0AB1"/>
    <w:rsid w:val="000E12D3"/>
    <w:rsid w:val="000E218B"/>
    <w:rsid w:val="000E2E24"/>
    <w:rsid w:val="000E322A"/>
    <w:rsid w:val="000E3C08"/>
    <w:rsid w:val="000F00A6"/>
    <w:rsid w:val="000F018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0AC3"/>
    <w:rsid w:val="00121600"/>
    <w:rsid w:val="0012217B"/>
    <w:rsid w:val="00122F5E"/>
    <w:rsid w:val="00126F80"/>
    <w:rsid w:val="00127839"/>
    <w:rsid w:val="00127D14"/>
    <w:rsid w:val="00130500"/>
    <w:rsid w:val="001308D4"/>
    <w:rsid w:val="00131CDF"/>
    <w:rsid w:val="00133A60"/>
    <w:rsid w:val="00133C57"/>
    <w:rsid w:val="00133D64"/>
    <w:rsid w:val="0013523E"/>
    <w:rsid w:val="00136897"/>
    <w:rsid w:val="00137BA4"/>
    <w:rsid w:val="0014067A"/>
    <w:rsid w:val="00141175"/>
    <w:rsid w:val="00142893"/>
    <w:rsid w:val="001438A5"/>
    <w:rsid w:val="001441D3"/>
    <w:rsid w:val="0014484E"/>
    <w:rsid w:val="00146509"/>
    <w:rsid w:val="001472A5"/>
    <w:rsid w:val="00147A8B"/>
    <w:rsid w:val="00151D48"/>
    <w:rsid w:val="00152A17"/>
    <w:rsid w:val="00152D3F"/>
    <w:rsid w:val="00152EF4"/>
    <w:rsid w:val="0015351E"/>
    <w:rsid w:val="00154584"/>
    <w:rsid w:val="00154C09"/>
    <w:rsid w:val="00154CD8"/>
    <w:rsid w:val="0015751B"/>
    <w:rsid w:val="00161CC0"/>
    <w:rsid w:val="00164061"/>
    <w:rsid w:val="00164BAD"/>
    <w:rsid w:val="00171831"/>
    <w:rsid w:val="00172205"/>
    <w:rsid w:val="00172B29"/>
    <w:rsid w:val="001761CB"/>
    <w:rsid w:val="00180F55"/>
    <w:rsid w:val="001827CF"/>
    <w:rsid w:val="001843E8"/>
    <w:rsid w:val="00184B23"/>
    <w:rsid w:val="00186F84"/>
    <w:rsid w:val="00190DE9"/>
    <w:rsid w:val="00191A27"/>
    <w:rsid w:val="00192287"/>
    <w:rsid w:val="00194A88"/>
    <w:rsid w:val="00194C5C"/>
    <w:rsid w:val="0019600D"/>
    <w:rsid w:val="00197ACA"/>
    <w:rsid w:val="001A0089"/>
    <w:rsid w:val="001A14DC"/>
    <w:rsid w:val="001A2DD1"/>
    <w:rsid w:val="001A3755"/>
    <w:rsid w:val="001A5951"/>
    <w:rsid w:val="001A5B4D"/>
    <w:rsid w:val="001A608E"/>
    <w:rsid w:val="001A7299"/>
    <w:rsid w:val="001A7D56"/>
    <w:rsid w:val="001B1297"/>
    <w:rsid w:val="001B40F8"/>
    <w:rsid w:val="001B469D"/>
    <w:rsid w:val="001B6227"/>
    <w:rsid w:val="001C0740"/>
    <w:rsid w:val="001C085D"/>
    <w:rsid w:val="001C1FCF"/>
    <w:rsid w:val="001C3488"/>
    <w:rsid w:val="001C4AAC"/>
    <w:rsid w:val="001C61C2"/>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465C"/>
    <w:rsid w:val="00226A03"/>
    <w:rsid w:val="0023003B"/>
    <w:rsid w:val="002310A8"/>
    <w:rsid w:val="002327AF"/>
    <w:rsid w:val="00233034"/>
    <w:rsid w:val="00233214"/>
    <w:rsid w:val="0023434D"/>
    <w:rsid w:val="00236064"/>
    <w:rsid w:val="002366C4"/>
    <w:rsid w:val="0023724E"/>
    <w:rsid w:val="002378DE"/>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762A"/>
    <w:rsid w:val="00267A88"/>
    <w:rsid w:val="00271A24"/>
    <w:rsid w:val="002729E4"/>
    <w:rsid w:val="00273171"/>
    <w:rsid w:val="002731E8"/>
    <w:rsid w:val="0027339B"/>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0C96"/>
    <w:rsid w:val="002C291C"/>
    <w:rsid w:val="002C7363"/>
    <w:rsid w:val="002D1979"/>
    <w:rsid w:val="002D2BC6"/>
    <w:rsid w:val="002D3B49"/>
    <w:rsid w:val="002D7BCE"/>
    <w:rsid w:val="002E07CB"/>
    <w:rsid w:val="002E26EB"/>
    <w:rsid w:val="002E796C"/>
    <w:rsid w:val="002F19AF"/>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5E72"/>
    <w:rsid w:val="0035772D"/>
    <w:rsid w:val="00360A0B"/>
    <w:rsid w:val="00362E0E"/>
    <w:rsid w:val="003633B9"/>
    <w:rsid w:val="003646B9"/>
    <w:rsid w:val="003708D3"/>
    <w:rsid w:val="00371AB7"/>
    <w:rsid w:val="003731F5"/>
    <w:rsid w:val="00375176"/>
    <w:rsid w:val="003779D8"/>
    <w:rsid w:val="00380776"/>
    <w:rsid w:val="00380BAC"/>
    <w:rsid w:val="003818BD"/>
    <w:rsid w:val="00381DC3"/>
    <w:rsid w:val="00382FD0"/>
    <w:rsid w:val="00386D6B"/>
    <w:rsid w:val="003873E7"/>
    <w:rsid w:val="00387C97"/>
    <w:rsid w:val="00395802"/>
    <w:rsid w:val="003965ED"/>
    <w:rsid w:val="003A0ACC"/>
    <w:rsid w:val="003A1F55"/>
    <w:rsid w:val="003A3A38"/>
    <w:rsid w:val="003A7001"/>
    <w:rsid w:val="003B1512"/>
    <w:rsid w:val="003B20F0"/>
    <w:rsid w:val="003B26C0"/>
    <w:rsid w:val="003B2757"/>
    <w:rsid w:val="003B2E9F"/>
    <w:rsid w:val="003B2FF4"/>
    <w:rsid w:val="003B373B"/>
    <w:rsid w:val="003B3A9A"/>
    <w:rsid w:val="003B4AF5"/>
    <w:rsid w:val="003B4BAF"/>
    <w:rsid w:val="003B68EA"/>
    <w:rsid w:val="003B6C7E"/>
    <w:rsid w:val="003B7C7A"/>
    <w:rsid w:val="003C0AC1"/>
    <w:rsid w:val="003C3C72"/>
    <w:rsid w:val="003C4A93"/>
    <w:rsid w:val="003C522D"/>
    <w:rsid w:val="003C63BE"/>
    <w:rsid w:val="003D1C8C"/>
    <w:rsid w:val="003D1EF2"/>
    <w:rsid w:val="003D293A"/>
    <w:rsid w:val="003D3FF6"/>
    <w:rsid w:val="003D5E2A"/>
    <w:rsid w:val="003D6C41"/>
    <w:rsid w:val="003D707F"/>
    <w:rsid w:val="003D7F85"/>
    <w:rsid w:val="003E0B3C"/>
    <w:rsid w:val="003E0F2A"/>
    <w:rsid w:val="003E15CF"/>
    <w:rsid w:val="003E2B2E"/>
    <w:rsid w:val="003E2C06"/>
    <w:rsid w:val="003E4073"/>
    <w:rsid w:val="003E4484"/>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23A9D"/>
    <w:rsid w:val="00424229"/>
    <w:rsid w:val="00427081"/>
    <w:rsid w:val="00430849"/>
    <w:rsid w:val="00433FAD"/>
    <w:rsid w:val="00435B66"/>
    <w:rsid w:val="004365BF"/>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4E30"/>
    <w:rsid w:val="004774DD"/>
    <w:rsid w:val="0047763B"/>
    <w:rsid w:val="00477A06"/>
    <w:rsid w:val="00485388"/>
    <w:rsid w:val="004870D8"/>
    <w:rsid w:val="00491DA5"/>
    <w:rsid w:val="00493195"/>
    <w:rsid w:val="004961AD"/>
    <w:rsid w:val="004963BC"/>
    <w:rsid w:val="00496E71"/>
    <w:rsid w:val="00497AD8"/>
    <w:rsid w:val="00497E3B"/>
    <w:rsid w:val="004A2326"/>
    <w:rsid w:val="004A234C"/>
    <w:rsid w:val="004A319F"/>
    <w:rsid w:val="004A4ECC"/>
    <w:rsid w:val="004A54A3"/>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8C4"/>
    <w:rsid w:val="004E4D67"/>
    <w:rsid w:val="004E5474"/>
    <w:rsid w:val="004E661E"/>
    <w:rsid w:val="004F03BE"/>
    <w:rsid w:val="004F05C1"/>
    <w:rsid w:val="004F1CDA"/>
    <w:rsid w:val="004F4815"/>
    <w:rsid w:val="004F4970"/>
    <w:rsid w:val="004F4B8D"/>
    <w:rsid w:val="004F5821"/>
    <w:rsid w:val="004F674E"/>
    <w:rsid w:val="004F716C"/>
    <w:rsid w:val="00501DFC"/>
    <w:rsid w:val="00501EAB"/>
    <w:rsid w:val="005043E1"/>
    <w:rsid w:val="005053FA"/>
    <w:rsid w:val="005068F2"/>
    <w:rsid w:val="00507EC8"/>
    <w:rsid w:val="00510956"/>
    <w:rsid w:val="00510C9F"/>
    <w:rsid w:val="005115C3"/>
    <w:rsid w:val="00512FF2"/>
    <w:rsid w:val="0051428C"/>
    <w:rsid w:val="00515E05"/>
    <w:rsid w:val="00516F56"/>
    <w:rsid w:val="00517C59"/>
    <w:rsid w:val="00520000"/>
    <w:rsid w:val="0052374B"/>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7727"/>
    <w:rsid w:val="005609AA"/>
    <w:rsid w:val="00563B9C"/>
    <w:rsid w:val="00565465"/>
    <w:rsid w:val="00566567"/>
    <w:rsid w:val="00567E8E"/>
    <w:rsid w:val="0057003C"/>
    <w:rsid w:val="0057052D"/>
    <w:rsid w:val="005707BD"/>
    <w:rsid w:val="00571B02"/>
    <w:rsid w:val="005720EB"/>
    <w:rsid w:val="005758AC"/>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23E0"/>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243E9"/>
    <w:rsid w:val="00630C62"/>
    <w:rsid w:val="00633FA0"/>
    <w:rsid w:val="006345EE"/>
    <w:rsid w:val="006361ED"/>
    <w:rsid w:val="006418C8"/>
    <w:rsid w:val="00641ABB"/>
    <w:rsid w:val="006422F6"/>
    <w:rsid w:val="0064256C"/>
    <w:rsid w:val="006427D9"/>
    <w:rsid w:val="00643498"/>
    <w:rsid w:val="00645439"/>
    <w:rsid w:val="00645E2A"/>
    <w:rsid w:val="006524B8"/>
    <w:rsid w:val="0065279D"/>
    <w:rsid w:val="00653354"/>
    <w:rsid w:val="00653C7A"/>
    <w:rsid w:val="00655BA3"/>
    <w:rsid w:val="00655D87"/>
    <w:rsid w:val="00656734"/>
    <w:rsid w:val="00661E08"/>
    <w:rsid w:val="0066306B"/>
    <w:rsid w:val="0066335A"/>
    <w:rsid w:val="0066407D"/>
    <w:rsid w:val="006640C5"/>
    <w:rsid w:val="00670A3B"/>
    <w:rsid w:val="00671447"/>
    <w:rsid w:val="006735F6"/>
    <w:rsid w:val="00674D05"/>
    <w:rsid w:val="00675661"/>
    <w:rsid w:val="00676DFB"/>
    <w:rsid w:val="00677BEF"/>
    <w:rsid w:val="00681F17"/>
    <w:rsid w:val="00681FC6"/>
    <w:rsid w:val="00682164"/>
    <w:rsid w:val="006826DA"/>
    <w:rsid w:val="0068325D"/>
    <w:rsid w:val="00683DC9"/>
    <w:rsid w:val="0068469B"/>
    <w:rsid w:val="006855C5"/>
    <w:rsid w:val="00685A2A"/>
    <w:rsid w:val="00687B92"/>
    <w:rsid w:val="00690F0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BAC"/>
    <w:rsid w:val="006C2F23"/>
    <w:rsid w:val="006C31AF"/>
    <w:rsid w:val="006C3540"/>
    <w:rsid w:val="006D1203"/>
    <w:rsid w:val="006D4142"/>
    <w:rsid w:val="006D4B71"/>
    <w:rsid w:val="006D7AAA"/>
    <w:rsid w:val="006E04EF"/>
    <w:rsid w:val="006E19FC"/>
    <w:rsid w:val="006E1B16"/>
    <w:rsid w:val="006E2197"/>
    <w:rsid w:val="006E22F2"/>
    <w:rsid w:val="006E27BA"/>
    <w:rsid w:val="006E2F9F"/>
    <w:rsid w:val="006E43D3"/>
    <w:rsid w:val="006E44A9"/>
    <w:rsid w:val="006E6519"/>
    <w:rsid w:val="006F0897"/>
    <w:rsid w:val="006F0D29"/>
    <w:rsid w:val="006F1538"/>
    <w:rsid w:val="006F2412"/>
    <w:rsid w:val="006F3363"/>
    <w:rsid w:val="006F5026"/>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5E46"/>
    <w:rsid w:val="0071697F"/>
    <w:rsid w:val="0071716F"/>
    <w:rsid w:val="0072005D"/>
    <w:rsid w:val="0072215B"/>
    <w:rsid w:val="0072271C"/>
    <w:rsid w:val="00723286"/>
    <w:rsid w:val="00727C09"/>
    <w:rsid w:val="00733866"/>
    <w:rsid w:val="007366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CC0"/>
    <w:rsid w:val="007B0E0D"/>
    <w:rsid w:val="007B29E4"/>
    <w:rsid w:val="007B448D"/>
    <w:rsid w:val="007B6958"/>
    <w:rsid w:val="007C0D88"/>
    <w:rsid w:val="007C4D7C"/>
    <w:rsid w:val="007C4FC7"/>
    <w:rsid w:val="007C5134"/>
    <w:rsid w:val="007C65BA"/>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1B5C"/>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9E5"/>
    <w:rsid w:val="00864F72"/>
    <w:rsid w:val="008738A1"/>
    <w:rsid w:val="00873D60"/>
    <w:rsid w:val="00874C23"/>
    <w:rsid w:val="00874D05"/>
    <w:rsid w:val="00875CD2"/>
    <w:rsid w:val="00880012"/>
    <w:rsid w:val="00881FFB"/>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80D"/>
    <w:rsid w:val="008C508D"/>
    <w:rsid w:val="008C74CA"/>
    <w:rsid w:val="008D04B8"/>
    <w:rsid w:val="008D1236"/>
    <w:rsid w:val="008D38EC"/>
    <w:rsid w:val="008D57D3"/>
    <w:rsid w:val="008E20B4"/>
    <w:rsid w:val="008E215F"/>
    <w:rsid w:val="008E4231"/>
    <w:rsid w:val="008E586E"/>
    <w:rsid w:val="008E5A8E"/>
    <w:rsid w:val="008F05C2"/>
    <w:rsid w:val="008F52F4"/>
    <w:rsid w:val="008F6A42"/>
    <w:rsid w:val="008F7D31"/>
    <w:rsid w:val="009000E7"/>
    <w:rsid w:val="00900115"/>
    <w:rsid w:val="009007FC"/>
    <w:rsid w:val="00900A88"/>
    <w:rsid w:val="0090282D"/>
    <w:rsid w:val="009031EC"/>
    <w:rsid w:val="00903BE5"/>
    <w:rsid w:val="009049BE"/>
    <w:rsid w:val="009057CB"/>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47FD"/>
    <w:rsid w:val="0094005B"/>
    <w:rsid w:val="0094041C"/>
    <w:rsid w:val="00943709"/>
    <w:rsid w:val="00943B62"/>
    <w:rsid w:val="009443A6"/>
    <w:rsid w:val="0094607A"/>
    <w:rsid w:val="00947785"/>
    <w:rsid w:val="00956CD1"/>
    <w:rsid w:val="00962084"/>
    <w:rsid w:val="009623FA"/>
    <w:rsid w:val="00963968"/>
    <w:rsid w:val="00964069"/>
    <w:rsid w:val="00964969"/>
    <w:rsid w:val="00964A87"/>
    <w:rsid w:val="00965794"/>
    <w:rsid w:val="00965870"/>
    <w:rsid w:val="00970BC4"/>
    <w:rsid w:val="0097228A"/>
    <w:rsid w:val="00973D8D"/>
    <w:rsid w:val="00974D4D"/>
    <w:rsid w:val="009752F6"/>
    <w:rsid w:val="009758DB"/>
    <w:rsid w:val="009768B5"/>
    <w:rsid w:val="0097768E"/>
    <w:rsid w:val="00983201"/>
    <w:rsid w:val="009837FD"/>
    <w:rsid w:val="00984197"/>
    <w:rsid w:val="00986534"/>
    <w:rsid w:val="00991B75"/>
    <w:rsid w:val="00995692"/>
    <w:rsid w:val="00996B6C"/>
    <w:rsid w:val="00997217"/>
    <w:rsid w:val="00997F96"/>
    <w:rsid w:val="009A1610"/>
    <w:rsid w:val="009A33AC"/>
    <w:rsid w:val="009A33BE"/>
    <w:rsid w:val="009A3714"/>
    <w:rsid w:val="009A5AE2"/>
    <w:rsid w:val="009A5D8D"/>
    <w:rsid w:val="009A6537"/>
    <w:rsid w:val="009B1106"/>
    <w:rsid w:val="009B1EAF"/>
    <w:rsid w:val="009B38C8"/>
    <w:rsid w:val="009B3FAA"/>
    <w:rsid w:val="009B4DEF"/>
    <w:rsid w:val="009C4221"/>
    <w:rsid w:val="009D0710"/>
    <w:rsid w:val="009D1ED8"/>
    <w:rsid w:val="009D4A0A"/>
    <w:rsid w:val="009D56DE"/>
    <w:rsid w:val="009D6659"/>
    <w:rsid w:val="009D7058"/>
    <w:rsid w:val="009E0336"/>
    <w:rsid w:val="009E10EC"/>
    <w:rsid w:val="009E3A9A"/>
    <w:rsid w:val="009E42B9"/>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628E"/>
    <w:rsid w:val="00A51216"/>
    <w:rsid w:val="00A5314A"/>
    <w:rsid w:val="00A57F60"/>
    <w:rsid w:val="00A61A6E"/>
    <w:rsid w:val="00A65B8D"/>
    <w:rsid w:val="00A67424"/>
    <w:rsid w:val="00A703CE"/>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52A7"/>
    <w:rsid w:val="00AB628D"/>
    <w:rsid w:val="00AB641E"/>
    <w:rsid w:val="00AB6F46"/>
    <w:rsid w:val="00AC1530"/>
    <w:rsid w:val="00AC1D64"/>
    <w:rsid w:val="00AC2BA3"/>
    <w:rsid w:val="00AD1E25"/>
    <w:rsid w:val="00AD38ED"/>
    <w:rsid w:val="00AD4282"/>
    <w:rsid w:val="00AD4671"/>
    <w:rsid w:val="00AD77FD"/>
    <w:rsid w:val="00AD7D17"/>
    <w:rsid w:val="00AE1A7A"/>
    <w:rsid w:val="00AE4894"/>
    <w:rsid w:val="00AE5AC8"/>
    <w:rsid w:val="00AF107D"/>
    <w:rsid w:val="00AF1ED3"/>
    <w:rsid w:val="00AF30AF"/>
    <w:rsid w:val="00AF3A91"/>
    <w:rsid w:val="00AF6667"/>
    <w:rsid w:val="00AF6B54"/>
    <w:rsid w:val="00AF6F6A"/>
    <w:rsid w:val="00AF75DD"/>
    <w:rsid w:val="00B03D20"/>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233"/>
    <w:rsid w:val="00B408F8"/>
    <w:rsid w:val="00B44314"/>
    <w:rsid w:val="00B45AA5"/>
    <w:rsid w:val="00B461BE"/>
    <w:rsid w:val="00B466DA"/>
    <w:rsid w:val="00B5088E"/>
    <w:rsid w:val="00B511DD"/>
    <w:rsid w:val="00B517B3"/>
    <w:rsid w:val="00B51D39"/>
    <w:rsid w:val="00B53176"/>
    <w:rsid w:val="00B55C20"/>
    <w:rsid w:val="00B60F70"/>
    <w:rsid w:val="00B61D3E"/>
    <w:rsid w:val="00B61F76"/>
    <w:rsid w:val="00B626F5"/>
    <w:rsid w:val="00B64A03"/>
    <w:rsid w:val="00B64AED"/>
    <w:rsid w:val="00B66885"/>
    <w:rsid w:val="00B66BAB"/>
    <w:rsid w:val="00B7058E"/>
    <w:rsid w:val="00B70873"/>
    <w:rsid w:val="00B70EC1"/>
    <w:rsid w:val="00B7103E"/>
    <w:rsid w:val="00B71315"/>
    <w:rsid w:val="00B7173A"/>
    <w:rsid w:val="00B72FDD"/>
    <w:rsid w:val="00B737DD"/>
    <w:rsid w:val="00B73E27"/>
    <w:rsid w:val="00B758E5"/>
    <w:rsid w:val="00B76F62"/>
    <w:rsid w:val="00B77236"/>
    <w:rsid w:val="00B77B2E"/>
    <w:rsid w:val="00B77E51"/>
    <w:rsid w:val="00B8098C"/>
    <w:rsid w:val="00B81A09"/>
    <w:rsid w:val="00B83381"/>
    <w:rsid w:val="00B8390D"/>
    <w:rsid w:val="00B860B7"/>
    <w:rsid w:val="00B87E72"/>
    <w:rsid w:val="00B87E94"/>
    <w:rsid w:val="00B90D57"/>
    <w:rsid w:val="00B90ED9"/>
    <w:rsid w:val="00B91207"/>
    <w:rsid w:val="00B94DC9"/>
    <w:rsid w:val="00B95F1A"/>
    <w:rsid w:val="00B97FBC"/>
    <w:rsid w:val="00BA05BF"/>
    <w:rsid w:val="00BA0DB3"/>
    <w:rsid w:val="00BA0E31"/>
    <w:rsid w:val="00BA1726"/>
    <w:rsid w:val="00BA212A"/>
    <w:rsid w:val="00BA2D8E"/>
    <w:rsid w:val="00BA2FEE"/>
    <w:rsid w:val="00BA42E0"/>
    <w:rsid w:val="00BA6F5F"/>
    <w:rsid w:val="00BB1D5F"/>
    <w:rsid w:val="00BB1EC2"/>
    <w:rsid w:val="00BB2686"/>
    <w:rsid w:val="00BB62D7"/>
    <w:rsid w:val="00BB7BCF"/>
    <w:rsid w:val="00BC05E2"/>
    <w:rsid w:val="00BC0C9A"/>
    <w:rsid w:val="00BC2BF5"/>
    <w:rsid w:val="00BC3F2F"/>
    <w:rsid w:val="00BC6D43"/>
    <w:rsid w:val="00BC7BD0"/>
    <w:rsid w:val="00BD08FE"/>
    <w:rsid w:val="00BD12B6"/>
    <w:rsid w:val="00BD249F"/>
    <w:rsid w:val="00BD5CAE"/>
    <w:rsid w:val="00BD5D80"/>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C00D17"/>
    <w:rsid w:val="00C02A64"/>
    <w:rsid w:val="00C02B83"/>
    <w:rsid w:val="00C06278"/>
    <w:rsid w:val="00C06502"/>
    <w:rsid w:val="00C06661"/>
    <w:rsid w:val="00C11344"/>
    <w:rsid w:val="00C11B8E"/>
    <w:rsid w:val="00C1297D"/>
    <w:rsid w:val="00C14017"/>
    <w:rsid w:val="00C148AE"/>
    <w:rsid w:val="00C14B07"/>
    <w:rsid w:val="00C1506F"/>
    <w:rsid w:val="00C22D01"/>
    <w:rsid w:val="00C22D64"/>
    <w:rsid w:val="00C25ED1"/>
    <w:rsid w:val="00C27CF3"/>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70AD4"/>
    <w:rsid w:val="00C725E6"/>
    <w:rsid w:val="00C72D55"/>
    <w:rsid w:val="00C732C5"/>
    <w:rsid w:val="00C734EC"/>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4E8C"/>
    <w:rsid w:val="00CA6573"/>
    <w:rsid w:val="00CA7887"/>
    <w:rsid w:val="00CB27A4"/>
    <w:rsid w:val="00CB621B"/>
    <w:rsid w:val="00CB65EC"/>
    <w:rsid w:val="00CB6E8A"/>
    <w:rsid w:val="00CB7070"/>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A50"/>
    <w:rsid w:val="00D35BF1"/>
    <w:rsid w:val="00D3635F"/>
    <w:rsid w:val="00D378CF"/>
    <w:rsid w:val="00D434D5"/>
    <w:rsid w:val="00D44218"/>
    <w:rsid w:val="00D44849"/>
    <w:rsid w:val="00D4494B"/>
    <w:rsid w:val="00D45394"/>
    <w:rsid w:val="00D45843"/>
    <w:rsid w:val="00D47287"/>
    <w:rsid w:val="00D5482F"/>
    <w:rsid w:val="00D566F5"/>
    <w:rsid w:val="00D56752"/>
    <w:rsid w:val="00D56F54"/>
    <w:rsid w:val="00D5720A"/>
    <w:rsid w:val="00D62375"/>
    <w:rsid w:val="00D63A6F"/>
    <w:rsid w:val="00D65FB7"/>
    <w:rsid w:val="00D70AB8"/>
    <w:rsid w:val="00D7104A"/>
    <w:rsid w:val="00D718E2"/>
    <w:rsid w:val="00D73B5B"/>
    <w:rsid w:val="00D74FDC"/>
    <w:rsid w:val="00D77684"/>
    <w:rsid w:val="00D81429"/>
    <w:rsid w:val="00D82506"/>
    <w:rsid w:val="00D831CE"/>
    <w:rsid w:val="00D871A9"/>
    <w:rsid w:val="00D90C44"/>
    <w:rsid w:val="00D9122C"/>
    <w:rsid w:val="00D9154A"/>
    <w:rsid w:val="00D91AF2"/>
    <w:rsid w:val="00D927CA"/>
    <w:rsid w:val="00D93271"/>
    <w:rsid w:val="00D96319"/>
    <w:rsid w:val="00DA0CA2"/>
    <w:rsid w:val="00DA158D"/>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2C51"/>
    <w:rsid w:val="00DE44E9"/>
    <w:rsid w:val="00DE5048"/>
    <w:rsid w:val="00DE6690"/>
    <w:rsid w:val="00DE7637"/>
    <w:rsid w:val="00DF09B8"/>
    <w:rsid w:val="00DF15EE"/>
    <w:rsid w:val="00DF2313"/>
    <w:rsid w:val="00DF53EA"/>
    <w:rsid w:val="00DF61CB"/>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4076"/>
    <w:rsid w:val="00E75BB5"/>
    <w:rsid w:val="00E808D6"/>
    <w:rsid w:val="00E80E37"/>
    <w:rsid w:val="00E8107F"/>
    <w:rsid w:val="00E8196A"/>
    <w:rsid w:val="00E83450"/>
    <w:rsid w:val="00E8389D"/>
    <w:rsid w:val="00E86739"/>
    <w:rsid w:val="00E90CF8"/>
    <w:rsid w:val="00E90E54"/>
    <w:rsid w:val="00E91FF2"/>
    <w:rsid w:val="00E94929"/>
    <w:rsid w:val="00E94FF3"/>
    <w:rsid w:val="00E9514D"/>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76DE"/>
    <w:rsid w:val="00F0156D"/>
    <w:rsid w:val="00F02DE0"/>
    <w:rsid w:val="00F0430C"/>
    <w:rsid w:val="00F053FC"/>
    <w:rsid w:val="00F059C8"/>
    <w:rsid w:val="00F06CB3"/>
    <w:rsid w:val="00F079CC"/>
    <w:rsid w:val="00F07A83"/>
    <w:rsid w:val="00F07F37"/>
    <w:rsid w:val="00F07FC2"/>
    <w:rsid w:val="00F10BB9"/>
    <w:rsid w:val="00F123A4"/>
    <w:rsid w:val="00F13DD5"/>
    <w:rsid w:val="00F1519C"/>
    <w:rsid w:val="00F16359"/>
    <w:rsid w:val="00F21698"/>
    <w:rsid w:val="00F24A07"/>
    <w:rsid w:val="00F2514D"/>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742E"/>
    <w:rsid w:val="00F57E57"/>
    <w:rsid w:val="00F60BA4"/>
    <w:rsid w:val="00F62D24"/>
    <w:rsid w:val="00F6398A"/>
    <w:rsid w:val="00F668B1"/>
    <w:rsid w:val="00F72E7B"/>
    <w:rsid w:val="00F762D5"/>
    <w:rsid w:val="00F76381"/>
    <w:rsid w:val="00F7668F"/>
    <w:rsid w:val="00F81765"/>
    <w:rsid w:val="00F82010"/>
    <w:rsid w:val="00F82312"/>
    <w:rsid w:val="00F83C99"/>
    <w:rsid w:val="00F841EA"/>
    <w:rsid w:val="00F8426B"/>
    <w:rsid w:val="00F85615"/>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FD"/>
    <w:rsid w:val="00FF36BC"/>
    <w:rsid w:val="00FF481A"/>
    <w:rsid w:val="00FF4EA8"/>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3040E8-4E4C-44EC-B2BC-98B03240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656734"/>
    <w:rPr>
      <w:rFonts w:ascii="Arial" w:hAnsi="Arial" w:cs="Arial"/>
      <w:sz w:val="30"/>
      <w:szCs w:val="30"/>
      <w:lang w:val="es-ES_tradnl"/>
    </w:rPr>
  </w:style>
  <w:style w:type="paragraph" w:customStyle="1" w:styleId="corte4fondo">
    <w:name w:val="corte4 fondo"/>
    <w:basedOn w:val="Normal"/>
    <w:link w:val="corte4fondoCar3"/>
    <w:qFormat/>
    <w:rsid w:val="00656734"/>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07EE-C4A5-49B7-8F80-CB0954DB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1867</Words>
  <Characters>10270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28</cp:revision>
  <cp:lastPrinted>2020-01-14T20:02:00Z</cp:lastPrinted>
  <dcterms:created xsi:type="dcterms:W3CDTF">2019-09-26T16:16:00Z</dcterms:created>
  <dcterms:modified xsi:type="dcterms:W3CDTF">2020-01-14T20:03:00Z</dcterms:modified>
</cp:coreProperties>
</file>