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50" w:rsidRPr="00820495" w:rsidRDefault="001E3A50" w:rsidP="001E3A50">
      <w:r>
        <w:tab/>
        <w:t xml:space="preserve">  </w:t>
      </w:r>
    </w:p>
    <w:p w:rsidR="001E3A50" w:rsidRDefault="001E3A50" w:rsidP="001E3A50">
      <w:pPr>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E3A50" w:rsidRPr="00B668BB" w:rsidTr="00072142">
        <w:tc>
          <w:tcPr>
            <w:tcW w:w="2356" w:type="dxa"/>
          </w:tcPr>
          <w:p w:rsidR="001E3A50" w:rsidRPr="00B668BB" w:rsidRDefault="001E3A50" w:rsidP="00072142">
            <w:pPr>
              <w:rPr>
                <w:rFonts w:ascii="Arial" w:hAnsi="Arial" w:cs="Arial"/>
                <w:b/>
                <w:sz w:val="26"/>
                <w:szCs w:val="26"/>
              </w:rPr>
            </w:pPr>
          </w:p>
        </w:tc>
        <w:tc>
          <w:tcPr>
            <w:tcW w:w="7426" w:type="dxa"/>
          </w:tcPr>
          <w:p w:rsidR="001E3A50" w:rsidRPr="00B668BB" w:rsidRDefault="001E3A50" w:rsidP="00072142">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E3A50" w:rsidRPr="000A1F0F" w:rsidRDefault="001E3A50" w:rsidP="00072142">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1E3A50" w:rsidRDefault="001E3A50" w:rsidP="00072142">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0143/2018.</w:t>
            </w:r>
          </w:p>
          <w:p w:rsidR="001E3A50" w:rsidRPr="000A1F0F" w:rsidRDefault="001E3A50" w:rsidP="00072142">
            <w:pPr>
              <w:pStyle w:val="Encabezado"/>
              <w:ind w:right="51"/>
              <w:jc w:val="both"/>
              <w:rPr>
                <w:rFonts w:ascii="Arial" w:hAnsi="Arial" w:cs="Arial"/>
                <w:b/>
                <w:iCs/>
                <w:caps/>
                <w:sz w:val="26"/>
                <w:szCs w:val="26"/>
                <w:lang w:val="es-PE"/>
              </w:rPr>
            </w:pPr>
          </w:p>
          <w:p w:rsidR="001E3A50" w:rsidRDefault="001E3A50" w:rsidP="00072142">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0420/2016 de la SÉPTIMA sala unitaria DE PRIMERA INSTANCIA.</w:t>
            </w:r>
          </w:p>
          <w:p w:rsidR="001E3A50" w:rsidRPr="000A1F0F" w:rsidRDefault="001E3A50" w:rsidP="00072142">
            <w:pPr>
              <w:pStyle w:val="Encabezado"/>
              <w:ind w:left="1119" w:right="51" w:hanging="1119"/>
              <w:jc w:val="both"/>
              <w:rPr>
                <w:rFonts w:ascii="Arial" w:hAnsi="Arial" w:cs="Arial"/>
                <w:b/>
                <w:iCs/>
                <w:caps/>
                <w:sz w:val="26"/>
                <w:szCs w:val="26"/>
                <w:lang w:val="es-PE"/>
              </w:rPr>
            </w:pPr>
          </w:p>
          <w:p w:rsidR="001E3A50" w:rsidRPr="000A1F0F" w:rsidRDefault="001E3A50" w:rsidP="00072142">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E3A50" w:rsidRPr="00B668BB" w:rsidTr="00072142">
        <w:tc>
          <w:tcPr>
            <w:tcW w:w="2356" w:type="dxa"/>
          </w:tcPr>
          <w:p w:rsidR="001E3A50" w:rsidRPr="00B668BB" w:rsidRDefault="001E3A50" w:rsidP="00072142">
            <w:pPr>
              <w:rPr>
                <w:rFonts w:ascii="Arial" w:hAnsi="Arial" w:cs="Arial"/>
                <w:b/>
                <w:sz w:val="26"/>
                <w:szCs w:val="26"/>
              </w:rPr>
            </w:pPr>
          </w:p>
        </w:tc>
        <w:tc>
          <w:tcPr>
            <w:tcW w:w="7426" w:type="dxa"/>
          </w:tcPr>
          <w:p w:rsidR="001E3A50" w:rsidRPr="00B668BB" w:rsidRDefault="001E3A50" w:rsidP="00072142">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E3A50" w:rsidRPr="00B668BB" w:rsidTr="00072142">
        <w:tc>
          <w:tcPr>
            <w:tcW w:w="2356" w:type="dxa"/>
          </w:tcPr>
          <w:p w:rsidR="001E3A50" w:rsidRPr="00B668BB" w:rsidRDefault="001E3A50" w:rsidP="00072142">
            <w:pPr>
              <w:rPr>
                <w:rFonts w:ascii="Arial" w:hAnsi="Arial" w:cs="Arial"/>
                <w:b/>
                <w:sz w:val="26"/>
                <w:szCs w:val="26"/>
              </w:rPr>
            </w:pPr>
          </w:p>
        </w:tc>
        <w:tc>
          <w:tcPr>
            <w:tcW w:w="7426" w:type="dxa"/>
          </w:tcPr>
          <w:p w:rsidR="001E3A50" w:rsidRPr="00B668BB" w:rsidRDefault="001E3A50" w:rsidP="00072142">
            <w:pPr>
              <w:tabs>
                <w:tab w:val="left" w:pos="3103"/>
              </w:tabs>
              <w:ind w:left="2961" w:hanging="2961"/>
              <w:jc w:val="both"/>
              <w:rPr>
                <w:rFonts w:ascii="Arial" w:hAnsi="Arial" w:cs="Arial"/>
                <w:b/>
                <w:i/>
                <w:iCs/>
                <w:caps/>
                <w:sz w:val="26"/>
                <w:szCs w:val="26"/>
              </w:rPr>
            </w:pPr>
          </w:p>
        </w:tc>
      </w:tr>
    </w:tbl>
    <w:p w:rsidR="00F649E3" w:rsidRDefault="001E3A50" w:rsidP="001E3A50">
      <w:pPr>
        <w:spacing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F649E3">
        <w:rPr>
          <w:rFonts w:ascii="Arial" w:hAnsi="Arial" w:cs="Arial"/>
          <w:b/>
          <w:sz w:val="26"/>
          <w:szCs w:val="26"/>
        </w:rPr>
        <w:t>CATORCE</w:t>
      </w:r>
      <w:r>
        <w:rPr>
          <w:rFonts w:ascii="Arial" w:hAnsi="Arial" w:cs="Arial"/>
          <w:b/>
          <w:sz w:val="26"/>
          <w:szCs w:val="26"/>
        </w:rPr>
        <w:t xml:space="preserve"> DE </w:t>
      </w:r>
      <w:r w:rsidR="00DF5F54">
        <w:rPr>
          <w:rFonts w:ascii="Arial" w:hAnsi="Arial" w:cs="Arial"/>
          <w:b/>
          <w:sz w:val="26"/>
          <w:szCs w:val="26"/>
        </w:rPr>
        <w:t>NOVIEMBRE</w:t>
      </w:r>
      <w:r>
        <w:rPr>
          <w:rFonts w:ascii="Arial" w:hAnsi="Arial" w:cs="Arial"/>
          <w:b/>
          <w:sz w:val="26"/>
          <w:szCs w:val="26"/>
        </w:rPr>
        <w:t xml:space="preserve"> DE </w:t>
      </w:r>
      <w:r w:rsidRPr="006E349D">
        <w:rPr>
          <w:rFonts w:ascii="Arial" w:hAnsi="Arial" w:cs="Arial"/>
          <w:b/>
          <w:sz w:val="26"/>
          <w:szCs w:val="26"/>
        </w:rPr>
        <w:t xml:space="preserve">DOS MIL </w:t>
      </w:r>
      <w:r>
        <w:rPr>
          <w:rFonts w:ascii="Arial" w:hAnsi="Arial" w:cs="Arial"/>
          <w:b/>
          <w:sz w:val="26"/>
          <w:szCs w:val="26"/>
        </w:rPr>
        <w:t>DIECIOCHO</w:t>
      </w:r>
      <w:r w:rsidR="00F649E3">
        <w:rPr>
          <w:rFonts w:ascii="Arial" w:hAnsi="Arial" w:cs="Arial"/>
          <w:b/>
          <w:sz w:val="26"/>
          <w:szCs w:val="26"/>
        </w:rPr>
        <w:t>.</w:t>
      </w:r>
    </w:p>
    <w:p w:rsidR="001E3A50" w:rsidRPr="006E349D" w:rsidRDefault="001E3A50" w:rsidP="001E3A50">
      <w:pPr>
        <w:spacing w:line="360" w:lineRule="auto"/>
        <w:jc w:val="both"/>
        <w:rPr>
          <w:rFonts w:ascii="Arial" w:hAnsi="Arial" w:cs="Arial"/>
          <w:b/>
          <w:sz w:val="26"/>
          <w:szCs w:val="26"/>
        </w:rPr>
      </w:pPr>
      <w:r>
        <w:rPr>
          <w:rFonts w:ascii="Arial" w:hAnsi="Arial" w:cs="Arial"/>
          <w:b/>
          <w:sz w:val="26"/>
          <w:szCs w:val="26"/>
        </w:rPr>
        <w:t xml:space="preserve"> </w:t>
      </w:r>
    </w:p>
    <w:p w:rsidR="00F649E3" w:rsidRDefault="001E3A50" w:rsidP="00F649E3">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Pr>
          <w:rFonts w:ascii="Arial" w:hAnsi="Arial" w:cs="Arial"/>
          <w:b/>
          <w:sz w:val="26"/>
          <w:szCs w:val="26"/>
        </w:rPr>
        <w:t xml:space="preserve">0143/2018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B6416D">
        <w:rPr>
          <w:rFonts w:ascii="Arial" w:hAnsi="Arial" w:cs="Arial"/>
          <w:b/>
          <w:sz w:val="26"/>
          <w:szCs w:val="26"/>
        </w:rPr>
        <w:t>**********</w:t>
      </w:r>
      <w:r>
        <w:rPr>
          <w:rFonts w:ascii="Arial" w:hAnsi="Arial" w:cs="Arial"/>
          <w:b/>
          <w:sz w:val="26"/>
          <w:szCs w:val="26"/>
        </w:rPr>
        <w:t xml:space="preserve">, apoderado legal de </w:t>
      </w:r>
      <w:r w:rsidR="00B6416D">
        <w:rPr>
          <w:rFonts w:ascii="Arial" w:hAnsi="Arial" w:cs="Arial"/>
          <w:b/>
          <w:sz w:val="26"/>
          <w:szCs w:val="26"/>
        </w:rPr>
        <w:t>**********</w:t>
      </w:r>
      <w:r w:rsidR="007A6023">
        <w:rPr>
          <w:rFonts w:ascii="Arial" w:hAnsi="Arial" w:cs="Arial"/>
          <w:b/>
          <w:sz w:val="26"/>
          <w:szCs w:val="26"/>
        </w:rPr>
        <w:t>.</w:t>
      </w:r>
      <w:r>
        <w:rPr>
          <w:rFonts w:ascii="Arial" w:hAnsi="Arial" w:cs="Arial"/>
          <w:b/>
          <w:sz w:val="26"/>
          <w:szCs w:val="26"/>
        </w:rPr>
        <w:t xml:space="preserve">, </w:t>
      </w:r>
      <w:r>
        <w:rPr>
          <w:rFonts w:ascii="Arial" w:hAnsi="Arial" w:cs="Arial"/>
          <w:sz w:val="26"/>
          <w:szCs w:val="26"/>
        </w:rPr>
        <w:t>en contra de la sentencia de fecha veintinueve de enero de dos mil dieciocho</w:t>
      </w:r>
      <w:r w:rsidRPr="00821CBD">
        <w:rPr>
          <w:rFonts w:ascii="Arial" w:hAnsi="Arial" w:cs="Arial"/>
          <w:sz w:val="26"/>
          <w:szCs w:val="26"/>
        </w:rPr>
        <w:t xml:space="preserve">, dictada en el </w:t>
      </w:r>
      <w:r>
        <w:rPr>
          <w:rFonts w:ascii="Arial" w:hAnsi="Arial" w:cs="Arial"/>
          <w:sz w:val="26"/>
          <w:szCs w:val="26"/>
        </w:rPr>
        <w:t>expediente</w:t>
      </w:r>
      <w:r w:rsidRPr="00821CBD">
        <w:rPr>
          <w:rFonts w:ascii="Arial" w:hAnsi="Arial" w:cs="Arial"/>
          <w:sz w:val="26"/>
          <w:szCs w:val="26"/>
        </w:rPr>
        <w:t xml:space="preserve"> </w:t>
      </w:r>
      <w:r>
        <w:rPr>
          <w:rFonts w:ascii="Arial" w:hAnsi="Arial" w:cs="Arial"/>
          <w:b/>
          <w:sz w:val="26"/>
          <w:szCs w:val="26"/>
        </w:rPr>
        <w:t xml:space="preserve">0420/2016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Séptima Sala Unitaria de Primera Instancia, relativo a</w:t>
      </w:r>
      <w:r w:rsidRPr="006E349D">
        <w:rPr>
          <w:rFonts w:ascii="Arial" w:hAnsi="Arial" w:cs="Arial"/>
          <w:sz w:val="26"/>
          <w:szCs w:val="26"/>
        </w:rPr>
        <w:t>l</w:t>
      </w:r>
      <w:r>
        <w:rPr>
          <w:rFonts w:ascii="Arial" w:hAnsi="Arial" w:cs="Arial"/>
          <w:sz w:val="26"/>
          <w:szCs w:val="26"/>
        </w:rPr>
        <w:t xml:space="preserve"> juicio de </w:t>
      </w:r>
      <w:r w:rsidRPr="006E349D">
        <w:rPr>
          <w:rFonts w:ascii="Arial" w:hAnsi="Arial" w:cs="Arial"/>
          <w:sz w:val="26"/>
          <w:szCs w:val="26"/>
        </w:rPr>
        <w:t xml:space="preserve">nulidad promovido por </w:t>
      </w:r>
      <w:r w:rsidRPr="00B348D1">
        <w:rPr>
          <w:rFonts w:ascii="Arial" w:hAnsi="Arial" w:cs="Arial"/>
          <w:b/>
          <w:sz w:val="26"/>
          <w:szCs w:val="26"/>
        </w:rPr>
        <w:t>EL RECURRENTE</w:t>
      </w:r>
      <w:r w:rsidRPr="00821CBD">
        <w:rPr>
          <w:rFonts w:ascii="Arial" w:hAnsi="Arial" w:cs="Arial"/>
          <w:b/>
          <w:sz w:val="26"/>
          <w:szCs w:val="26"/>
        </w:rPr>
        <w:t xml:space="preserve">, </w:t>
      </w:r>
      <w:r>
        <w:rPr>
          <w:rFonts w:ascii="Arial" w:hAnsi="Arial" w:cs="Arial"/>
          <w:sz w:val="26"/>
          <w:szCs w:val="26"/>
        </w:rPr>
        <w:t>en contra de</w:t>
      </w:r>
      <w:r w:rsidR="00332333">
        <w:rPr>
          <w:rFonts w:ascii="Arial" w:hAnsi="Arial" w:cs="Arial"/>
          <w:sz w:val="26"/>
          <w:szCs w:val="26"/>
        </w:rPr>
        <w:t xml:space="preserve"> la </w:t>
      </w:r>
      <w:r w:rsidR="00332333">
        <w:rPr>
          <w:rFonts w:ascii="Arial" w:hAnsi="Arial" w:cs="Arial"/>
          <w:b/>
          <w:sz w:val="26"/>
          <w:szCs w:val="26"/>
        </w:rPr>
        <w:t>REGISTRADORA DEL REGISTRO PÚBLICO DE LA PROPIEDAD Y DEL COMERCIO DEL DISTRITO JUDICIAL DE MIAHUATLÁN DE PORFIRIO DÍAZ, OAXACA</w:t>
      </w:r>
      <w:r w:rsidR="002B73A4">
        <w:rPr>
          <w:rFonts w:ascii="Arial" w:hAnsi="Arial" w:cs="Arial"/>
          <w:sz w:val="26"/>
          <w:szCs w:val="26"/>
        </w:rPr>
        <w:t xml:space="preserve">; </w:t>
      </w:r>
      <w:r w:rsidR="002B73A4" w:rsidRPr="00CB6405">
        <w:rPr>
          <w:rFonts w:ascii="Arial" w:hAnsi="Arial" w:cs="Arial"/>
          <w:sz w:val="26"/>
          <w:szCs w:val="26"/>
        </w:rPr>
        <w:t xml:space="preserve">por lo que con fundamento en los artículos 207 y 208 de la Ley de Justicia Administrativa para el Estado de Oaxaca, </w:t>
      </w:r>
      <w:r w:rsidR="002B73A4">
        <w:rPr>
          <w:rFonts w:ascii="Arial" w:hAnsi="Arial" w:cs="Arial"/>
          <w:bCs/>
          <w:iCs/>
          <w:sz w:val="26"/>
          <w:szCs w:val="26"/>
        </w:rPr>
        <w:t>vigente al inicio del juicio principal</w:t>
      </w:r>
      <w:r w:rsidR="002B73A4">
        <w:rPr>
          <w:rFonts w:ascii="Arial" w:hAnsi="Arial" w:cs="Arial"/>
          <w:sz w:val="26"/>
          <w:szCs w:val="26"/>
        </w:rPr>
        <w:t xml:space="preserve">, </w:t>
      </w:r>
      <w:r w:rsidR="002B73A4" w:rsidRPr="00CB6405">
        <w:rPr>
          <w:rFonts w:ascii="Arial" w:hAnsi="Arial" w:cs="Arial"/>
          <w:sz w:val="26"/>
          <w:szCs w:val="26"/>
        </w:rPr>
        <w:t>se admite.</w:t>
      </w:r>
      <w:r w:rsidR="002B73A4">
        <w:rPr>
          <w:rFonts w:ascii="Arial" w:hAnsi="Arial" w:cs="Arial"/>
          <w:sz w:val="26"/>
          <w:szCs w:val="26"/>
        </w:rPr>
        <w:t xml:space="preserve"> </w:t>
      </w:r>
      <w:r w:rsidRPr="00372D3D">
        <w:rPr>
          <w:rFonts w:ascii="Arial" w:hAnsi="Arial" w:cs="Arial"/>
          <w:sz w:val="26"/>
          <w:szCs w:val="26"/>
        </w:rPr>
        <w:t>En consecuencia, se procede a dictar resolución en los siguientes términos</w:t>
      </w:r>
      <w:r w:rsidR="00F649E3">
        <w:rPr>
          <w:rFonts w:ascii="Arial" w:hAnsi="Arial" w:cs="Arial"/>
          <w:sz w:val="26"/>
          <w:szCs w:val="26"/>
        </w:rPr>
        <w:t>:</w:t>
      </w:r>
    </w:p>
    <w:p w:rsidR="00F649E3" w:rsidRDefault="001E3A50" w:rsidP="00F649E3">
      <w:pPr>
        <w:spacing w:line="360" w:lineRule="auto"/>
        <w:jc w:val="center"/>
        <w:rPr>
          <w:rFonts w:ascii="Arial" w:hAnsi="Arial" w:cs="Arial"/>
          <w:b/>
          <w:bCs/>
          <w:sz w:val="26"/>
          <w:szCs w:val="26"/>
        </w:rPr>
      </w:pPr>
      <w:r w:rsidRPr="00A42570">
        <w:rPr>
          <w:rFonts w:ascii="Arial" w:hAnsi="Arial" w:cs="Arial"/>
          <w:b/>
          <w:bCs/>
          <w:sz w:val="26"/>
          <w:szCs w:val="26"/>
        </w:rPr>
        <w:t>R</w:t>
      </w:r>
      <w:r w:rsidRPr="00372D3D">
        <w:rPr>
          <w:rFonts w:ascii="Arial" w:hAnsi="Arial" w:cs="Arial"/>
          <w:b/>
          <w:bCs/>
          <w:sz w:val="26"/>
          <w:szCs w:val="26"/>
        </w:rPr>
        <w:t xml:space="preserve"> E S U L T A N D O</w:t>
      </w:r>
    </w:p>
    <w:p w:rsidR="00F649E3" w:rsidRDefault="00F649E3" w:rsidP="001E3A50">
      <w:pPr>
        <w:spacing w:line="360" w:lineRule="auto"/>
        <w:jc w:val="both"/>
        <w:rPr>
          <w:rFonts w:ascii="Arial" w:hAnsi="Arial" w:cs="Arial"/>
          <w:b/>
          <w:bCs/>
          <w:sz w:val="26"/>
          <w:szCs w:val="26"/>
        </w:rPr>
      </w:pPr>
    </w:p>
    <w:p w:rsidR="00F649E3" w:rsidRDefault="001E3A50" w:rsidP="00F649E3">
      <w:pPr>
        <w:spacing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2B73A4">
        <w:rPr>
          <w:rFonts w:ascii="Arial" w:hAnsi="Arial" w:cs="Arial"/>
          <w:sz w:val="26"/>
          <w:szCs w:val="26"/>
        </w:rPr>
        <w:t>Inconforme con la sentencia de</w:t>
      </w:r>
      <w:r w:rsidR="00332333">
        <w:rPr>
          <w:rFonts w:ascii="Arial" w:hAnsi="Arial" w:cs="Arial"/>
          <w:sz w:val="26"/>
          <w:szCs w:val="26"/>
        </w:rPr>
        <w:t xml:space="preserve"> veintinueve de enero</w:t>
      </w:r>
      <w:r>
        <w:rPr>
          <w:rFonts w:ascii="Arial" w:hAnsi="Arial" w:cs="Arial"/>
          <w:sz w:val="26"/>
          <w:szCs w:val="26"/>
        </w:rPr>
        <w:t xml:space="preserve"> </w:t>
      </w:r>
      <w:r w:rsidR="00332333">
        <w:rPr>
          <w:rFonts w:ascii="Arial" w:hAnsi="Arial" w:cs="Arial"/>
          <w:sz w:val="26"/>
          <w:szCs w:val="26"/>
        </w:rPr>
        <w:t>de dos mil dieciocho</w:t>
      </w:r>
      <w:r w:rsidRPr="00372D3D">
        <w:rPr>
          <w:rFonts w:ascii="Arial" w:hAnsi="Arial" w:cs="Arial"/>
          <w:sz w:val="26"/>
          <w:szCs w:val="26"/>
        </w:rPr>
        <w:t>, dictad</w:t>
      </w:r>
      <w:r w:rsidR="00332333">
        <w:rPr>
          <w:rFonts w:ascii="Arial" w:hAnsi="Arial" w:cs="Arial"/>
          <w:sz w:val="26"/>
          <w:szCs w:val="26"/>
        </w:rPr>
        <w:t>a por la Magistrada de la Séptima</w:t>
      </w:r>
      <w:r>
        <w:rPr>
          <w:rFonts w:ascii="Arial" w:hAnsi="Arial" w:cs="Arial"/>
          <w:sz w:val="26"/>
          <w:szCs w:val="26"/>
        </w:rPr>
        <w:t xml:space="preserve"> Sala Unitaria de Primera Instancia, </w:t>
      </w:r>
      <w:r w:rsidR="00B6416D">
        <w:rPr>
          <w:rFonts w:ascii="Arial" w:hAnsi="Arial" w:cs="Arial"/>
          <w:b/>
          <w:sz w:val="26"/>
          <w:szCs w:val="26"/>
        </w:rPr>
        <w:t>**********</w:t>
      </w:r>
      <w:r w:rsidR="00332333">
        <w:rPr>
          <w:rFonts w:ascii="Arial" w:hAnsi="Arial" w:cs="Arial"/>
          <w:b/>
          <w:sz w:val="26"/>
          <w:szCs w:val="26"/>
        </w:rPr>
        <w:t xml:space="preserve">, apoderado legal de </w:t>
      </w:r>
      <w:r w:rsidR="00B6416D">
        <w:rPr>
          <w:rFonts w:ascii="Arial" w:hAnsi="Arial" w:cs="Arial"/>
          <w:b/>
          <w:sz w:val="26"/>
          <w:szCs w:val="26"/>
        </w:rPr>
        <w:t>**********</w:t>
      </w:r>
      <w:r>
        <w:rPr>
          <w:rFonts w:ascii="Arial" w:hAnsi="Arial" w:cs="Arial"/>
          <w:b/>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r w:rsidR="00F649E3">
        <w:rPr>
          <w:rFonts w:ascii="Arial" w:hAnsi="Arial" w:cs="Arial"/>
          <w:sz w:val="26"/>
          <w:szCs w:val="26"/>
        </w:rPr>
        <w:t>.</w:t>
      </w:r>
    </w:p>
    <w:p w:rsidR="00F649E3" w:rsidRDefault="00F649E3" w:rsidP="00F649E3">
      <w:pPr>
        <w:spacing w:line="360" w:lineRule="auto"/>
        <w:ind w:firstLine="708"/>
        <w:jc w:val="both"/>
        <w:rPr>
          <w:rFonts w:ascii="Arial" w:hAnsi="Arial" w:cs="Arial"/>
          <w:sz w:val="26"/>
          <w:szCs w:val="26"/>
        </w:rPr>
      </w:pPr>
    </w:p>
    <w:p w:rsidR="001E3A50" w:rsidRDefault="00332333" w:rsidP="00F649E3">
      <w:pPr>
        <w:spacing w:line="360" w:lineRule="auto"/>
        <w:ind w:firstLine="708"/>
        <w:jc w:val="both"/>
        <w:rPr>
          <w:rFonts w:ascii="Arial" w:hAnsi="Arial" w:cs="Arial"/>
          <w:sz w:val="26"/>
          <w:szCs w:val="26"/>
        </w:rPr>
      </w:pPr>
      <w:r>
        <w:rPr>
          <w:rFonts w:ascii="Arial" w:hAnsi="Arial" w:cs="Arial"/>
          <w:sz w:val="26"/>
          <w:szCs w:val="26"/>
        </w:rPr>
        <w:t xml:space="preserve"> </w:t>
      </w:r>
      <w:r w:rsidR="001E3A50">
        <w:rPr>
          <w:rFonts w:ascii="Arial" w:hAnsi="Arial" w:cs="Arial"/>
          <w:sz w:val="26"/>
          <w:szCs w:val="26"/>
        </w:rPr>
        <w:t xml:space="preserve"> </w:t>
      </w:r>
      <w:r w:rsidR="001E3A50" w:rsidRPr="006E349D">
        <w:rPr>
          <w:rFonts w:ascii="Arial" w:hAnsi="Arial" w:cs="Arial"/>
          <w:b/>
          <w:bCs/>
          <w:sz w:val="26"/>
          <w:szCs w:val="26"/>
        </w:rPr>
        <w:t xml:space="preserve">SEGUNDO.- </w:t>
      </w:r>
      <w:r w:rsidR="001E3A50">
        <w:rPr>
          <w:rFonts w:ascii="Arial" w:hAnsi="Arial" w:cs="Arial"/>
          <w:sz w:val="26"/>
          <w:szCs w:val="26"/>
        </w:rPr>
        <w:t>Los puntos resolutivos de la sentencia recurrida son del tenor literal siguiente</w:t>
      </w:r>
      <w:r w:rsidR="00F649E3">
        <w:rPr>
          <w:rFonts w:ascii="Arial" w:hAnsi="Arial" w:cs="Arial"/>
          <w:sz w:val="26"/>
          <w:szCs w:val="26"/>
        </w:rPr>
        <w:t>:</w:t>
      </w:r>
    </w:p>
    <w:p w:rsidR="00F649E3" w:rsidRPr="00705AF6" w:rsidRDefault="00F649E3" w:rsidP="00F649E3">
      <w:pPr>
        <w:spacing w:line="360" w:lineRule="auto"/>
        <w:ind w:firstLine="708"/>
        <w:jc w:val="both"/>
        <w:rPr>
          <w:rFonts w:ascii="Arial" w:hAnsi="Arial" w:cs="Arial"/>
          <w:b/>
          <w:bCs/>
          <w:sz w:val="26"/>
          <w:szCs w:val="26"/>
        </w:rPr>
      </w:pPr>
    </w:p>
    <w:p w:rsidR="00C34B36" w:rsidRPr="007A6023" w:rsidRDefault="001E3A50" w:rsidP="007A6023">
      <w:pPr>
        <w:spacing w:line="360" w:lineRule="auto"/>
        <w:ind w:left="851" w:right="902"/>
        <w:jc w:val="both"/>
        <w:rPr>
          <w:rFonts w:ascii="Arial" w:hAnsi="Arial" w:cs="Arial"/>
          <w:bCs/>
          <w:i/>
          <w:iCs/>
        </w:rPr>
      </w:pPr>
      <w:r w:rsidRPr="007A6023">
        <w:rPr>
          <w:rFonts w:ascii="Arial" w:hAnsi="Arial" w:cs="Arial"/>
          <w:b/>
          <w:bCs/>
          <w:i/>
          <w:iCs/>
        </w:rPr>
        <w:t>“</w:t>
      </w:r>
      <w:r w:rsidR="00C34B36" w:rsidRPr="007A6023">
        <w:rPr>
          <w:rFonts w:ascii="Arial" w:hAnsi="Arial" w:cs="Arial"/>
          <w:b/>
          <w:bCs/>
          <w:i/>
          <w:iCs/>
        </w:rPr>
        <w:t xml:space="preserve">PRIMERO.- </w:t>
      </w:r>
      <w:r w:rsidR="00C34B36" w:rsidRPr="007A6023">
        <w:rPr>
          <w:rFonts w:ascii="Arial" w:hAnsi="Arial" w:cs="Arial"/>
          <w:bCs/>
          <w:i/>
          <w:iCs/>
        </w:rPr>
        <w:t xml:space="preserve">Esta Séptima Sala Unitaria de Primera Instancia del Tribunal de lo Contencioso Administrativo y de Cuentas del Poder Judicial del Estado, es legalmente competente para conocer y </w:t>
      </w:r>
      <w:r w:rsidR="00C34B36" w:rsidRPr="007A6023">
        <w:rPr>
          <w:rFonts w:ascii="Arial" w:hAnsi="Arial" w:cs="Arial"/>
          <w:bCs/>
          <w:i/>
          <w:iCs/>
        </w:rPr>
        <w:lastRenderedPageBreak/>
        <w:t>resolver del presente juicio de Nulidad</w:t>
      </w:r>
      <w:r w:rsidRPr="007A6023">
        <w:rPr>
          <w:rFonts w:ascii="Arial" w:hAnsi="Arial" w:cs="Arial"/>
          <w:bCs/>
          <w:i/>
          <w:iCs/>
        </w:rPr>
        <w:t xml:space="preserve">.- - - - - - - </w:t>
      </w:r>
      <w:r w:rsidR="007A6023">
        <w:rPr>
          <w:rFonts w:ascii="Arial" w:hAnsi="Arial" w:cs="Arial"/>
          <w:bCs/>
          <w:i/>
          <w:iCs/>
        </w:rPr>
        <w:t xml:space="preserve">- - - - - - - - - - - - - </w:t>
      </w:r>
      <w:r w:rsidR="00C34B36" w:rsidRPr="007A6023">
        <w:rPr>
          <w:rFonts w:ascii="Arial" w:hAnsi="Arial" w:cs="Arial"/>
          <w:bCs/>
          <w:i/>
          <w:iCs/>
        </w:rPr>
        <w:t xml:space="preserve"> </w:t>
      </w:r>
      <w:r w:rsidRPr="007A6023">
        <w:rPr>
          <w:rFonts w:ascii="Arial" w:hAnsi="Arial" w:cs="Arial"/>
          <w:b/>
          <w:bCs/>
          <w:i/>
          <w:iCs/>
        </w:rPr>
        <w:t>SEGUNDO.-</w:t>
      </w:r>
      <w:r w:rsidR="00332333" w:rsidRPr="007A6023">
        <w:rPr>
          <w:rFonts w:ascii="Arial" w:hAnsi="Arial" w:cs="Arial"/>
          <w:bCs/>
          <w:i/>
          <w:iCs/>
        </w:rPr>
        <w:t xml:space="preserve"> </w:t>
      </w:r>
      <w:r w:rsidR="00C34B36" w:rsidRPr="007A6023">
        <w:rPr>
          <w:rFonts w:ascii="Arial" w:hAnsi="Arial" w:cs="Arial"/>
          <w:bCs/>
          <w:i/>
          <w:iCs/>
        </w:rPr>
        <w:t xml:space="preserve">No se actualizó causal de improcedencia alguna, por lo que </w:t>
      </w:r>
      <w:r w:rsidR="00C34B36" w:rsidRPr="007A6023">
        <w:rPr>
          <w:rFonts w:ascii="Arial" w:hAnsi="Arial" w:cs="Arial"/>
          <w:b/>
          <w:bCs/>
          <w:i/>
          <w:iCs/>
        </w:rPr>
        <w:t>NO SE SOBRESEE EL JUICIO</w:t>
      </w:r>
      <w:r w:rsidR="00C34B36" w:rsidRPr="007A6023">
        <w:rPr>
          <w:rFonts w:ascii="Arial" w:hAnsi="Arial" w:cs="Arial"/>
          <w:bCs/>
          <w:i/>
          <w:iCs/>
        </w:rPr>
        <w:t>, de conformidad con lo expuesto en el considerando QUINTO de</w:t>
      </w:r>
      <w:r w:rsidR="007A6023">
        <w:rPr>
          <w:rFonts w:ascii="Arial" w:hAnsi="Arial" w:cs="Arial"/>
          <w:bCs/>
          <w:i/>
          <w:iCs/>
        </w:rPr>
        <w:t xml:space="preserve"> esta resolución. - - - - - - </w:t>
      </w:r>
    </w:p>
    <w:p w:rsidR="001E3A50" w:rsidRPr="007A6023" w:rsidRDefault="001E3A50" w:rsidP="007A6023">
      <w:pPr>
        <w:spacing w:line="360" w:lineRule="auto"/>
        <w:ind w:left="851" w:right="902"/>
        <w:jc w:val="both"/>
        <w:rPr>
          <w:rFonts w:ascii="Arial" w:hAnsi="Arial" w:cs="Arial"/>
          <w:bCs/>
          <w:i/>
          <w:iCs/>
        </w:rPr>
      </w:pPr>
      <w:r w:rsidRPr="007A6023">
        <w:rPr>
          <w:rFonts w:ascii="Arial" w:hAnsi="Arial" w:cs="Arial"/>
          <w:b/>
          <w:bCs/>
          <w:i/>
          <w:iCs/>
        </w:rPr>
        <w:t>TERCERO.-</w:t>
      </w:r>
      <w:r w:rsidR="00C34B36" w:rsidRPr="007A6023">
        <w:rPr>
          <w:rFonts w:ascii="Arial" w:hAnsi="Arial" w:cs="Arial"/>
          <w:bCs/>
          <w:i/>
          <w:iCs/>
        </w:rPr>
        <w:t xml:space="preserve"> Se declara la </w:t>
      </w:r>
      <w:r w:rsidR="00C34B36" w:rsidRPr="007A6023">
        <w:rPr>
          <w:rFonts w:ascii="Arial" w:hAnsi="Arial" w:cs="Arial"/>
          <w:b/>
          <w:bCs/>
          <w:i/>
          <w:iCs/>
        </w:rPr>
        <w:t>VALIDEZ</w:t>
      </w:r>
      <w:r w:rsidR="00C34B36" w:rsidRPr="007A6023">
        <w:rPr>
          <w:rFonts w:ascii="Arial" w:hAnsi="Arial" w:cs="Arial"/>
          <w:bCs/>
          <w:i/>
          <w:iCs/>
        </w:rPr>
        <w:t xml:space="preserve"> del acto impugnado, consistente en la inscripción preventiva realizada por la Registradora del Registro Público de la Propiedad del </w:t>
      </w:r>
      <w:r w:rsidR="00C34B36" w:rsidRPr="007A6023">
        <w:rPr>
          <w:rFonts w:ascii="Arial" w:hAnsi="Arial" w:cs="Arial"/>
          <w:i/>
        </w:rPr>
        <w:t>Distrito Judicial de Miahuatlán de Porfirio Díaz Oaxaca, el día dieciséis de febrero de dos mil dieciséis (16/02/2016) del Contrato de apertura de crédito en cuenta corriente con garantía hipotecaria, de conformidad con el considerando SEXTO de esta resolución</w:t>
      </w:r>
      <w:r w:rsidRPr="007A6023">
        <w:rPr>
          <w:rFonts w:ascii="Arial" w:hAnsi="Arial" w:cs="Arial"/>
          <w:bCs/>
          <w:i/>
          <w:iCs/>
        </w:rPr>
        <w:t xml:space="preserve">.- - - - </w:t>
      </w:r>
    </w:p>
    <w:p w:rsidR="001E3A50" w:rsidRPr="007A6023" w:rsidRDefault="00C34B36" w:rsidP="007A6023">
      <w:pPr>
        <w:spacing w:line="360" w:lineRule="auto"/>
        <w:ind w:left="851" w:right="902"/>
        <w:jc w:val="both"/>
        <w:rPr>
          <w:rFonts w:ascii="Arial" w:hAnsi="Arial" w:cs="Arial"/>
          <w:b/>
          <w:bCs/>
          <w:i/>
          <w:iCs/>
        </w:rPr>
      </w:pPr>
      <w:r w:rsidRPr="007A6023">
        <w:rPr>
          <w:rFonts w:ascii="Arial" w:hAnsi="Arial" w:cs="Arial"/>
          <w:b/>
          <w:bCs/>
          <w:i/>
          <w:iCs/>
        </w:rPr>
        <w:t xml:space="preserve">CUARTO.- </w:t>
      </w:r>
      <w:r w:rsidRPr="007A6023">
        <w:rPr>
          <w:rFonts w:ascii="Arial" w:hAnsi="Arial" w:cs="Arial"/>
          <w:bCs/>
          <w:i/>
          <w:iCs/>
        </w:rPr>
        <w:t xml:space="preserve">Conforme a lo dispuesto en el artículo 142 fracción I y 143 </w:t>
      </w:r>
      <w:proofErr w:type="gramStart"/>
      <w:r w:rsidRPr="007A6023">
        <w:rPr>
          <w:rFonts w:ascii="Arial" w:hAnsi="Arial" w:cs="Arial"/>
          <w:bCs/>
          <w:i/>
          <w:iCs/>
        </w:rPr>
        <w:t>fracción</w:t>
      </w:r>
      <w:proofErr w:type="gramEnd"/>
      <w:r w:rsidRPr="007A6023">
        <w:rPr>
          <w:rFonts w:ascii="Arial" w:hAnsi="Arial" w:cs="Arial"/>
          <w:bCs/>
          <w:i/>
          <w:iCs/>
        </w:rPr>
        <w:t xml:space="preserve"> I y II, de la Ley de Justicia Administrativa para el Estado, </w:t>
      </w:r>
      <w:r w:rsidR="00A131CF" w:rsidRPr="007A6023">
        <w:rPr>
          <w:rFonts w:ascii="Arial" w:hAnsi="Arial" w:cs="Arial"/>
          <w:b/>
          <w:bCs/>
          <w:i/>
          <w:iCs/>
        </w:rPr>
        <w:t>NOTIFÍQUESE PERSONALMENTE A LA PARTE</w:t>
      </w:r>
      <w:r w:rsidR="001E3A50" w:rsidRPr="007A6023">
        <w:rPr>
          <w:rFonts w:ascii="Arial" w:hAnsi="Arial" w:cs="Arial"/>
          <w:b/>
          <w:bCs/>
          <w:i/>
          <w:iCs/>
        </w:rPr>
        <w:t xml:space="preserve"> ACTOR</w:t>
      </w:r>
      <w:r w:rsidR="00A131CF" w:rsidRPr="007A6023">
        <w:rPr>
          <w:rFonts w:ascii="Arial" w:hAnsi="Arial" w:cs="Arial"/>
          <w:b/>
          <w:bCs/>
          <w:i/>
          <w:iCs/>
        </w:rPr>
        <w:t>A</w:t>
      </w:r>
      <w:r w:rsidR="001E3A50" w:rsidRPr="007A6023">
        <w:rPr>
          <w:rFonts w:ascii="Arial" w:hAnsi="Arial" w:cs="Arial"/>
          <w:b/>
          <w:bCs/>
          <w:i/>
          <w:iCs/>
        </w:rPr>
        <w:t xml:space="preserve"> Y POR OFICIO A LA AUTORIDAD DEMANDADA</w:t>
      </w:r>
      <w:r w:rsidR="00A131CF" w:rsidRPr="007A6023">
        <w:rPr>
          <w:rFonts w:ascii="Arial" w:hAnsi="Arial" w:cs="Arial"/>
          <w:b/>
          <w:bCs/>
          <w:i/>
          <w:iCs/>
        </w:rPr>
        <w:t>. CÚMPLASE.”</w:t>
      </w:r>
      <w:r w:rsidR="001E3A50" w:rsidRPr="007A6023">
        <w:rPr>
          <w:rFonts w:ascii="Arial" w:hAnsi="Arial" w:cs="Arial"/>
          <w:b/>
          <w:bCs/>
          <w:i/>
          <w:iCs/>
        </w:rPr>
        <w:t xml:space="preserve">- - - - - - </w:t>
      </w:r>
      <w:r w:rsidR="007A6023">
        <w:rPr>
          <w:rFonts w:ascii="Arial" w:hAnsi="Arial" w:cs="Arial"/>
          <w:b/>
          <w:bCs/>
          <w:i/>
          <w:iCs/>
        </w:rPr>
        <w:t xml:space="preserve">- - - - - - - - - - -  -- - - - - - - - - - - - - - - - - - - - </w:t>
      </w:r>
    </w:p>
    <w:p w:rsidR="00F649E3" w:rsidRDefault="00F649E3" w:rsidP="001E3A50">
      <w:pPr>
        <w:spacing w:line="360" w:lineRule="auto"/>
        <w:ind w:right="49"/>
        <w:jc w:val="both"/>
        <w:rPr>
          <w:rFonts w:ascii="Arial" w:eastAsia="Times New Roman" w:hAnsi="Arial" w:cs="Arial"/>
          <w:b/>
          <w:bCs/>
          <w:sz w:val="26"/>
          <w:szCs w:val="26"/>
          <w:lang w:eastAsia="es-ES"/>
        </w:rPr>
      </w:pPr>
    </w:p>
    <w:p w:rsidR="00F649E3" w:rsidRDefault="001E3A50" w:rsidP="00F649E3">
      <w:pPr>
        <w:spacing w:line="360" w:lineRule="auto"/>
        <w:ind w:right="49"/>
        <w:jc w:val="center"/>
        <w:rPr>
          <w:rFonts w:ascii="Arial" w:eastAsia="Times New Roman" w:hAnsi="Arial" w:cs="Arial"/>
          <w:b/>
          <w:bCs/>
          <w:sz w:val="26"/>
          <w:szCs w:val="26"/>
          <w:lang w:eastAsia="es-ES"/>
        </w:rPr>
      </w:pPr>
      <w:bookmarkStart w:id="0" w:name="_GoBack"/>
      <w:bookmarkEnd w:id="0"/>
      <w:r w:rsidRPr="007D1B29">
        <w:rPr>
          <w:rFonts w:ascii="Arial" w:eastAsia="Times New Roman" w:hAnsi="Arial" w:cs="Arial"/>
          <w:b/>
          <w:bCs/>
          <w:sz w:val="26"/>
          <w:szCs w:val="26"/>
          <w:lang w:eastAsia="es-ES"/>
        </w:rPr>
        <w:t>C O N S I D E R A N D O</w:t>
      </w:r>
    </w:p>
    <w:p w:rsidR="00F649E3" w:rsidRDefault="00F649E3" w:rsidP="001E3A50">
      <w:pPr>
        <w:spacing w:line="360" w:lineRule="auto"/>
        <w:ind w:right="49"/>
        <w:jc w:val="both"/>
        <w:rPr>
          <w:rFonts w:ascii="Arial" w:eastAsia="Times New Roman" w:hAnsi="Arial" w:cs="Arial"/>
          <w:b/>
          <w:bCs/>
          <w:sz w:val="26"/>
          <w:szCs w:val="26"/>
          <w:lang w:eastAsia="es-ES"/>
        </w:rPr>
      </w:pPr>
    </w:p>
    <w:p w:rsidR="00F649E3" w:rsidRDefault="001E3A50" w:rsidP="00F649E3">
      <w:pPr>
        <w:spacing w:line="360" w:lineRule="auto"/>
        <w:ind w:right="49" w:firstLine="567"/>
        <w:jc w:val="both"/>
        <w:rPr>
          <w:rFonts w:ascii="Arial" w:hAnsi="Arial" w:cs="Arial"/>
          <w:bCs/>
          <w:sz w:val="26"/>
          <w:szCs w:val="26"/>
        </w:rPr>
      </w:pPr>
      <w:r w:rsidRPr="006E349D">
        <w:rPr>
          <w:rFonts w:ascii="Arial" w:hAnsi="Arial" w:cs="Arial"/>
          <w:b/>
          <w:bCs/>
          <w:iCs/>
          <w:sz w:val="26"/>
          <w:szCs w:val="26"/>
        </w:rPr>
        <w:t xml:space="preserve">PRIMERO. </w:t>
      </w:r>
      <w:r w:rsidR="002B73A4" w:rsidRPr="0073338E">
        <w:rPr>
          <w:rFonts w:ascii="Arial" w:hAnsi="Arial" w:cs="Arial"/>
          <w:bCs/>
          <w:iCs/>
          <w:sz w:val="26"/>
          <w:szCs w:val="26"/>
        </w:rPr>
        <w:t xml:space="preserve">Esta Sala Superior es competente para conocer del presente asunto, </w:t>
      </w:r>
      <w:r w:rsidR="002B73A4" w:rsidRPr="0073338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w:t>
      </w:r>
      <w:r w:rsidR="002B73A4">
        <w:rPr>
          <w:rFonts w:ascii="Arial" w:hAnsi="Arial" w:cs="Arial"/>
          <w:bCs/>
          <w:iCs/>
          <w:sz w:val="26"/>
          <w:szCs w:val="26"/>
          <w:lang w:eastAsia="es-ES"/>
        </w:rPr>
        <w:t xml:space="preserve">ado Libre y Soberano de Oaxaca, </w:t>
      </w:r>
      <w:r w:rsidR="002B73A4" w:rsidRPr="0073338E">
        <w:rPr>
          <w:rFonts w:ascii="Arial" w:hAnsi="Arial" w:cs="Arial"/>
          <w:bCs/>
          <w:iCs/>
          <w:sz w:val="26"/>
          <w:szCs w:val="26"/>
          <w:lang w:eastAsia="es-ES"/>
        </w:rPr>
        <w:t xml:space="preserve">publicado </w:t>
      </w:r>
      <w:r w:rsidR="002B73A4" w:rsidRPr="00F66D81">
        <w:rPr>
          <w:rFonts w:ascii="Arial" w:hAnsi="Arial" w:cs="Arial"/>
          <w:bCs/>
          <w:iCs/>
          <w:sz w:val="26"/>
          <w:szCs w:val="26"/>
          <w:lang w:eastAsia="es-ES"/>
        </w:rPr>
        <w:t xml:space="preserve">en el Extra del Periódico Oficial del Gobierno del Estado el 16 dieciséis de enero de 2018 dos mil dieciocho, </w:t>
      </w:r>
      <w:r w:rsidR="002B73A4" w:rsidRPr="00F66D81">
        <w:rPr>
          <w:rFonts w:ascii="Arial" w:hAnsi="Arial" w:cs="Arial"/>
          <w:bCs/>
          <w:iCs/>
          <w:sz w:val="26"/>
          <w:szCs w:val="26"/>
        </w:rPr>
        <w:t>86, 88, 92, 93, fracción I, 94, 201, 206 y 208, de la Ley de Justicia Administrativa para el Estado de O</w:t>
      </w:r>
      <w:r w:rsidR="002B73A4">
        <w:rPr>
          <w:rFonts w:ascii="Arial" w:hAnsi="Arial" w:cs="Arial"/>
          <w:bCs/>
          <w:iCs/>
          <w:sz w:val="26"/>
          <w:szCs w:val="26"/>
        </w:rPr>
        <w:t xml:space="preserve">axaca, vigente hasta el veinte </w:t>
      </w:r>
      <w:r w:rsidR="002B73A4" w:rsidRPr="00F66D81">
        <w:rPr>
          <w:rFonts w:ascii="Arial" w:hAnsi="Arial" w:cs="Arial"/>
          <w:bCs/>
          <w:iCs/>
          <w:sz w:val="26"/>
          <w:szCs w:val="26"/>
        </w:rPr>
        <w:t>de octubre de dos mil diecisiete</w:t>
      </w:r>
      <w:r w:rsidR="002B73A4" w:rsidRPr="00983363">
        <w:rPr>
          <w:rFonts w:ascii="Arial" w:hAnsi="Arial" w:cs="Arial"/>
          <w:bCs/>
          <w:iCs/>
          <w:sz w:val="26"/>
          <w:szCs w:val="26"/>
        </w:rPr>
        <w:t>,</w:t>
      </w:r>
      <w:r w:rsidRPr="006E349D">
        <w:rPr>
          <w:rFonts w:ascii="Arial" w:hAnsi="Arial" w:cs="Arial"/>
          <w:bCs/>
          <w:iCs/>
          <w:sz w:val="26"/>
          <w:szCs w:val="26"/>
        </w:rPr>
        <w:t xml:space="preserve"> 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sentencia de </w:t>
      </w:r>
      <w:r w:rsidR="00A131CF">
        <w:rPr>
          <w:rFonts w:ascii="Arial" w:hAnsi="Arial" w:cs="Arial"/>
          <w:sz w:val="26"/>
          <w:szCs w:val="26"/>
        </w:rPr>
        <w:t>veintinueve de enero</w:t>
      </w:r>
      <w:r>
        <w:rPr>
          <w:rFonts w:ascii="Arial" w:hAnsi="Arial" w:cs="Arial"/>
          <w:sz w:val="26"/>
          <w:szCs w:val="26"/>
        </w:rPr>
        <w:t xml:space="preserve"> de dos mil dieciocho</w:t>
      </w:r>
      <w:r w:rsidRPr="00821CBD">
        <w:rPr>
          <w:rFonts w:ascii="Arial" w:hAnsi="Arial" w:cs="Arial"/>
          <w:sz w:val="26"/>
          <w:szCs w:val="26"/>
        </w:rPr>
        <w:t xml:space="preserve">, dictada en el </w:t>
      </w:r>
      <w:r>
        <w:rPr>
          <w:rFonts w:ascii="Arial" w:hAnsi="Arial" w:cs="Arial"/>
          <w:sz w:val="26"/>
          <w:szCs w:val="26"/>
        </w:rPr>
        <w:t xml:space="preserve">expediente </w:t>
      </w:r>
      <w:r w:rsidRPr="00821CBD">
        <w:rPr>
          <w:rFonts w:ascii="Arial" w:hAnsi="Arial" w:cs="Arial"/>
          <w:sz w:val="26"/>
          <w:szCs w:val="26"/>
        </w:rPr>
        <w:t xml:space="preserve"> </w:t>
      </w:r>
      <w:r w:rsidR="00A131CF">
        <w:rPr>
          <w:rFonts w:ascii="Arial" w:hAnsi="Arial" w:cs="Arial"/>
          <w:b/>
          <w:sz w:val="26"/>
          <w:szCs w:val="26"/>
        </w:rPr>
        <w:t>0420/2016</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A131CF">
        <w:rPr>
          <w:rFonts w:ascii="Arial" w:hAnsi="Arial" w:cs="Arial"/>
          <w:sz w:val="26"/>
          <w:szCs w:val="26"/>
        </w:rPr>
        <w:t xml:space="preserve"> la Séptima</w:t>
      </w:r>
      <w:r>
        <w:rPr>
          <w:rFonts w:ascii="Arial" w:hAnsi="Arial" w:cs="Arial"/>
          <w:sz w:val="26"/>
          <w:szCs w:val="26"/>
        </w:rPr>
        <w:t xml:space="preserve"> Sala Unitaria de Primera Instancia</w:t>
      </w:r>
      <w:r>
        <w:rPr>
          <w:rFonts w:ascii="Arial" w:hAnsi="Arial" w:cs="Arial"/>
          <w:b/>
          <w:bCs/>
          <w:sz w:val="26"/>
          <w:szCs w:val="26"/>
        </w:rPr>
        <w:t xml:space="preserve">. </w:t>
      </w:r>
    </w:p>
    <w:p w:rsidR="00F649E3" w:rsidRDefault="00F649E3" w:rsidP="00F649E3">
      <w:pPr>
        <w:spacing w:line="360" w:lineRule="auto"/>
        <w:ind w:right="49" w:firstLine="567"/>
        <w:jc w:val="both"/>
        <w:rPr>
          <w:rFonts w:ascii="Arial" w:hAnsi="Arial" w:cs="Arial"/>
          <w:bCs/>
          <w:sz w:val="26"/>
          <w:szCs w:val="26"/>
        </w:rPr>
      </w:pPr>
    </w:p>
    <w:p w:rsidR="006042FD" w:rsidRPr="002B73A4" w:rsidRDefault="001E3A50" w:rsidP="002B73A4">
      <w:pPr>
        <w:spacing w:line="360" w:lineRule="auto"/>
        <w:ind w:right="49" w:firstLine="567"/>
        <w:jc w:val="both"/>
        <w:rPr>
          <w:rFonts w:ascii="Arial" w:hAnsi="Arial" w:cs="Arial"/>
        </w:rPr>
      </w:pPr>
      <w:r w:rsidRPr="006E349D">
        <w:rPr>
          <w:rFonts w:ascii="Arial" w:hAnsi="Arial" w:cs="Arial"/>
          <w:b/>
          <w:bCs/>
          <w:sz w:val="26"/>
          <w:szCs w:val="26"/>
        </w:rPr>
        <w:t>SEGUNDO.</w:t>
      </w:r>
      <w:r w:rsidR="00400A5F">
        <w:rPr>
          <w:rFonts w:ascii="Arial" w:hAnsi="Arial" w:cs="Arial"/>
          <w:bCs/>
          <w:sz w:val="26"/>
          <w:szCs w:val="26"/>
        </w:rPr>
        <w:t xml:space="preserve"> El agravio</w:t>
      </w:r>
      <w:r w:rsidRPr="006E349D">
        <w:rPr>
          <w:rFonts w:ascii="Arial" w:hAnsi="Arial" w:cs="Arial"/>
          <w:bCs/>
          <w:sz w:val="26"/>
          <w:szCs w:val="26"/>
        </w:rPr>
        <w:t xml:space="preserve"> </w:t>
      </w:r>
      <w:r w:rsidR="00400A5F">
        <w:rPr>
          <w:rFonts w:ascii="Arial" w:hAnsi="Arial" w:cs="Arial"/>
          <w:bCs/>
          <w:sz w:val="26"/>
          <w:szCs w:val="26"/>
        </w:rPr>
        <w:t>hecho</w:t>
      </w:r>
      <w:r w:rsidRPr="006E349D">
        <w:rPr>
          <w:rFonts w:ascii="Arial" w:hAnsi="Arial" w:cs="Arial"/>
          <w:bCs/>
          <w:sz w:val="26"/>
          <w:szCs w:val="26"/>
        </w:rPr>
        <w:t xml:space="preserve"> valer</w:t>
      </w:r>
      <w:r>
        <w:rPr>
          <w:rFonts w:ascii="Arial" w:hAnsi="Arial" w:cs="Arial"/>
          <w:bCs/>
          <w:sz w:val="26"/>
          <w:szCs w:val="26"/>
        </w:rPr>
        <w:t xml:space="preserve">, </w:t>
      </w:r>
      <w:r w:rsidRPr="006E349D">
        <w:rPr>
          <w:rFonts w:ascii="Arial" w:hAnsi="Arial" w:cs="Arial"/>
          <w:bCs/>
          <w:sz w:val="26"/>
          <w:szCs w:val="26"/>
        </w:rPr>
        <w:t>se encue</w:t>
      </w:r>
      <w:r w:rsidR="00400A5F">
        <w:rPr>
          <w:rFonts w:ascii="Arial" w:hAnsi="Arial" w:cs="Arial"/>
          <w:bCs/>
          <w:sz w:val="26"/>
          <w:szCs w:val="26"/>
        </w:rPr>
        <w:t>ntra expuesto</w:t>
      </w:r>
      <w:r>
        <w:rPr>
          <w:rFonts w:ascii="Arial" w:hAnsi="Arial" w:cs="Arial"/>
          <w:bCs/>
          <w:sz w:val="26"/>
          <w:szCs w:val="26"/>
        </w:rPr>
        <w:t xml:space="preserve"> en el escrito del recurrente</w:t>
      </w:r>
      <w:r w:rsidRPr="006E349D">
        <w:rPr>
          <w:rFonts w:ascii="Arial" w:hAnsi="Arial" w:cs="Arial"/>
          <w:bCs/>
          <w:sz w:val="26"/>
          <w:szCs w:val="26"/>
        </w:rPr>
        <w:t>, por lo que no ex</w:t>
      </w:r>
      <w:r w:rsidR="00400A5F">
        <w:rPr>
          <w:rFonts w:ascii="Arial" w:hAnsi="Arial" w:cs="Arial"/>
          <w:bCs/>
          <w:sz w:val="26"/>
          <w:szCs w:val="26"/>
        </w:rPr>
        <w:t>iste necesidad de transcribirlo</w:t>
      </w:r>
      <w:r w:rsidRPr="006E349D">
        <w:rPr>
          <w:rFonts w:ascii="Arial" w:hAnsi="Arial" w:cs="Arial"/>
          <w:bCs/>
          <w:sz w:val="26"/>
          <w:szCs w:val="26"/>
        </w:rPr>
        <w:t xml:space="preserve">,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dirle</w:t>
      </w:r>
      <w:r w:rsidRPr="006E349D">
        <w:rPr>
          <w:rFonts w:ascii="Arial" w:hAnsi="Arial" w:cs="Arial"/>
          <w:bCs/>
          <w:sz w:val="26"/>
          <w:szCs w:val="26"/>
        </w:rPr>
        <w:t xml:space="preserve"> derecho alguno, como tampoco se vulnera disposición expresa que imponga tal obligación</w:t>
      </w:r>
      <w:r w:rsidRPr="006E349D">
        <w:rPr>
          <w:rFonts w:ascii="Arial" w:hAnsi="Arial" w:cs="Arial"/>
          <w:sz w:val="26"/>
          <w:szCs w:val="26"/>
        </w:rPr>
        <w:t>.</w:t>
      </w:r>
      <w:r>
        <w:rPr>
          <w:rFonts w:ascii="Arial" w:hAnsi="Arial" w:cs="Arial"/>
          <w:bCs/>
          <w:sz w:val="26"/>
          <w:szCs w:val="26"/>
        </w:rPr>
        <w:t xml:space="preserve"> S</w:t>
      </w:r>
      <w:r w:rsidR="00BA68FB">
        <w:rPr>
          <w:rFonts w:ascii="Arial" w:hAnsi="Arial" w:cs="Arial"/>
          <w:bCs/>
          <w:sz w:val="26"/>
          <w:szCs w:val="26"/>
        </w:rPr>
        <w:t>irve de</w:t>
      </w:r>
      <w:r w:rsidRPr="00743575">
        <w:rPr>
          <w:rFonts w:ascii="Arial" w:hAnsi="Arial" w:cs="Arial"/>
          <w:bCs/>
          <w:sz w:val="26"/>
          <w:szCs w:val="26"/>
        </w:rPr>
        <w:t xml:space="preserve"> apoyo</w:t>
      </w:r>
      <w:r w:rsidR="00BA68FB">
        <w:rPr>
          <w:rFonts w:ascii="Arial" w:hAnsi="Arial" w:cs="Arial"/>
          <w:bCs/>
          <w:sz w:val="26"/>
          <w:szCs w:val="26"/>
        </w:rPr>
        <w:t xml:space="preserve"> a lo anterior</w:t>
      </w:r>
      <w:r w:rsidRPr="00743575">
        <w:rPr>
          <w:rFonts w:ascii="Arial" w:hAnsi="Arial" w:cs="Arial"/>
          <w:bCs/>
          <w:sz w:val="26"/>
          <w:szCs w:val="26"/>
        </w:rPr>
        <w:t>,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1B5BD0" w:rsidRDefault="001B5BD0" w:rsidP="001B5BD0">
      <w:pPr>
        <w:widowControl w:val="0"/>
        <w:tabs>
          <w:tab w:val="left" w:pos="7938"/>
          <w:tab w:val="left" w:pos="8222"/>
        </w:tabs>
        <w:spacing w:line="360" w:lineRule="auto"/>
        <w:ind w:right="49"/>
        <w:jc w:val="both"/>
        <w:rPr>
          <w:rFonts w:ascii="Arial" w:eastAsia="Times New Roman" w:hAnsi="Arial" w:cs="Arial"/>
          <w:bCs/>
          <w:iCs/>
          <w:lang w:val="es-ES" w:eastAsia="es-ES"/>
        </w:rPr>
      </w:pPr>
    </w:p>
    <w:p w:rsidR="001B5BD0" w:rsidRDefault="001B5BD0" w:rsidP="001B5BD0">
      <w:pPr>
        <w:spacing w:line="360" w:lineRule="auto"/>
        <w:ind w:left="567" w:right="618"/>
        <w:jc w:val="both"/>
        <w:rPr>
          <w:rFonts w:ascii="Arial" w:hAnsi="Arial" w:cs="Arial"/>
          <w:i/>
          <w:color w:val="000000"/>
          <w:sz w:val="20"/>
          <w:szCs w:val="20"/>
        </w:rPr>
      </w:pPr>
      <w:r>
        <w:rPr>
          <w:rFonts w:ascii="Arial" w:hAnsi="Arial" w:cs="Arial"/>
          <w:b/>
          <w:bCs/>
          <w:i/>
          <w:color w:val="000000"/>
        </w:rPr>
        <w:lastRenderedPageBreak/>
        <w:t>“CONCEPTOS DE VIOLACIÓN. NO ES OBLIGATORIO TRANSCRIBIRLOS EN LA SENTENCIA</w:t>
      </w:r>
      <w:r>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2B73A4">
        <w:rPr>
          <w:rFonts w:ascii="Arial" w:hAnsi="Arial" w:cs="Arial"/>
          <w:bCs/>
          <w:i/>
          <w:color w:val="000000"/>
        </w:rPr>
        <w:t xml:space="preserve">(sic)”. </w:t>
      </w:r>
    </w:p>
    <w:p w:rsidR="00F649E3" w:rsidRDefault="001E3A50" w:rsidP="00F649E3">
      <w:pPr>
        <w:spacing w:before="240" w:line="360" w:lineRule="auto"/>
        <w:ind w:firstLine="567"/>
        <w:jc w:val="both"/>
        <w:rPr>
          <w:rFonts w:ascii="Arial" w:eastAsia="Calibri" w:hAnsi="Arial" w:cs="Arial"/>
          <w:bCs/>
          <w:sz w:val="26"/>
          <w:szCs w:val="26"/>
        </w:rPr>
      </w:pPr>
      <w:r w:rsidRPr="00D149F1">
        <w:rPr>
          <w:rFonts w:ascii="Arial" w:hAnsi="Arial" w:cs="Arial"/>
          <w:b/>
          <w:bCs/>
          <w:sz w:val="26"/>
          <w:szCs w:val="26"/>
        </w:rPr>
        <w:t>TERCERO</w:t>
      </w:r>
      <w:r w:rsidR="00FA36D7" w:rsidRPr="00185265">
        <w:rPr>
          <w:rFonts w:ascii="Arial" w:eastAsia="Calibri" w:hAnsi="Arial" w:cs="Arial"/>
          <w:b/>
          <w:bCs/>
          <w:sz w:val="26"/>
          <w:szCs w:val="26"/>
        </w:rPr>
        <w:t>.</w:t>
      </w:r>
      <w:r w:rsidR="00FA36D7">
        <w:rPr>
          <w:rFonts w:ascii="Arial" w:eastAsia="Calibri" w:hAnsi="Arial" w:cs="Arial"/>
          <w:b/>
          <w:bCs/>
          <w:sz w:val="26"/>
          <w:szCs w:val="26"/>
        </w:rPr>
        <w:t xml:space="preserve"> </w:t>
      </w:r>
      <w:r w:rsidR="00FA36D7" w:rsidRPr="000C6268">
        <w:rPr>
          <w:rFonts w:ascii="Arial" w:eastAsia="Calibri" w:hAnsi="Arial" w:cs="Arial"/>
          <w:bCs/>
          <w:sz w:val="26"/>
          <w:szCs w:val="26"/>
        </w:rPr>
        <w:t>Antes de entrar al análisis de las constancias que conforman el expediente de Primera Instancia, cabe resaltar que en el juicio contencioso administrativo es regla fundamental, la consistente en analizar en primer orden los presupuestos procesales alegados o aquellos que se adviertan de oficio por el Tribunal; conforme a lo dispuesto por el artículo 206, fracción VII, de la Ley de Justicia Administrativa para el Estado</w:t>
      </w:r>
      <w:r w:rsidR="00F649E3">
        <w:rPr>
          <w:rFonts w:ascii="Arial" w:eastAsia="Calibri" w:hAnsi="Arial" w:cs="Arial"/>
          <w:bCs/>
          <w:sz w:val="26"/>
          <w:szCs w:val="26"/>
        </w:rPr>
        <w:t>.</w:t>
      </w:r>
    </w:p>
    <w:p w:rsidR="00F649E3" w:rsidRDefault="00FA36D7" w:rsidP="00F649E3">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0C6268">
        <w:rPr>
          <w:rFonts w:ascii="Arial" w:eastAsia="Calibri" w:hAnsi="Arial" w:cs="Arial"/>
          <w:bCs/>
          <w:sz w:val="26"/>
          <w:szCs w:val="26"/>
        </w:rPr>
        <w:t xml:space="preserve">Dado que los presupuestos procesales son relativos a la validez del proceso o de la relación jurídico-procesal, es decir, aquellos </w:t>
      </w:r>
      <w:r>
        <w:rPr>
          <w:rFonts w:ascii="Arial" w:eastAsia="Calibri" w:hAnsi="Arial" w:cs="Arial"/>
          <w:bCs/>
          <w:sz w:val="26"/>
          <w:szCs w:val="26"/>
        </w:rPr>
        <w:t xml:space="preserve">que deben ser </w:t>
      </w:r>
      <w:r w:rsidRPr="000C6268">
        <w:rPr>
          <w:rFonts w:ascii="Arial" w:eastAsia="Calibri" w:hAnsi="Arial" w:cs="Arial"/>
          <w:bCs/>
          <w:sz w:val="26"/>
          <w:szCs w:val="26"/>
        </w:rPr>
        <w:t>considerados previos a la sentencia, puesto que los mismos están formados por las condiciones que deben cumplirse dentro del proceso para que pueda dictarse una sentencia de fondo, tales como la competencia del juzgador; por lo que sí estos elementos no se reúnen o se configuran de manera defectuosa dentro del procedimiento, el mismo y la relación jurídica-procesal deben considerarse inválidos</w:t>
      </w:r>
      <w:r w:rsidR="00F649E3">
        <w:rPr>
          <w:rFonts w:ascii="Arial" w:eastAsia="Calibri" w:hAnsi="Arial" w:cs="Arial"/>
          <w:bCs/>
          <w:sz w:val="26"/>
          <w:szCs w:val="26"/>
        </w:rPr>
        <w:t>.</w:t>
      </w:r>
    </w:p>
    <w:p w:rsidR="00FA36D7" w:rsidRPr="002654FC" w:rsidRDefault="00FA36D7" w:rsidP="00F649E3">
      <w:pPr>
        <w:spacing w:before="240"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C0B76">
        <w:rPr>
          <w:rFonts w:ascii="Arial" w:eastAsia="Calibri" w:hAnsi="Arial" w:cs="Arial"/>
          <w:bCs/>
          <w:sz w:val="26"/>
          <w:szCs w:val="26"/>
        </w:rPr>
        <w:t>En el mismo sentido se basa el criterio contenido en la jurisprudencia XIX.1o.P.T. J/14, que por identidad jurídica resulta aplicable, la cual es sostenida por Tribunales Colegiados de Circuito, visible a página 3103, Tomo XXXIII, del Semanario Judicial de la Federación y su gaceta, enero de 2011, de rubro y texto siguientes</w:t>
      </w:r>
      <w:r w:rsidR="00F649E3">
        <w:rPr>
          <w:rFonts w:ascii="Arial" w:eastAsia="Calibri" w:hAnsi="Arial" w:cs="Arial"/>
          <w:bCs/>
          <w:sz w:val="26"/>
          <w:szCs w:val="26"/>
        </w:rPr>
        <w:t>:</w:t>
      </w:r>
    </w:p>
    <w:p w:rsidR="00FA36D7" w:rsidRPr="009C0B76" w:rsidRDefault="00FA36D7" w:rsidP="00FA36D7">
      <w:pPr>
        <w:spacing w:before="240" w:line="360" w:lineRule="auto"/>
        <w:ind w:left="567" w:right="616"/>
        <w:jc w:val="both"/>
        <w:rPr>
          <w:rFonts w:ascii="Arial" w:eastAsia="Calibri" w:hAnsi="Arial" w:cs="Arial"/>
          <w:bCs/>
          <w:sz w:val="26"/>
          <w:szCs w:val="26"/>
        </w:rPr>
      </w:pPr>
      <w:r w:rsidRPr="009C0B76">
        <w:rPr>
          <w:rFonts w:ascii="Arial" w:eastAsia="Calibri" w:hAnsi="Arial" w:cs="Arial"/>
          <w:b/>
          <w:bCs/>
          <w:i/>
          <w:sz w:val="26"/>
          <w:szCs w:val="26"/>
        </w:rPr>
        <w:t>“</w:t>
      </w:r>
      <w:r w:rsidRPr="009C0B76">
        <w:rPr>
          <w:rFonts w:ascii="Arial" w:eastAsia="Calibri" w:hAnsi="Arial" w:cs="Arial"/>
          <w:b/>
          <w:bCs/>
          <w:i/>
        </w:rPr>
        <w:t xml:space="preserve">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 </w:t>
      </w:r>
      <w:r w:rsidRPr="009C0B76">
        <w:rPr>
          <w:rFonts w:ascii="Arial" w:eastAsia="Calibri" w:hAnsi="Arial" w:cs="Arial"/>
          <w:bCs/>
          <w:i/>
        </w:rPr>
        <w:t xml:space="preserve">Del artículo 91, fracción IV, de la Ley de Amparo se advierte que, previo al análisis </w:t>
      </w:r>
      <w:r w:rsidRPr="009C0B76">
        <w:rPr>
          <w:rFonts w:ascii="Arial" w:eastAsia="Calibri" w:hAnsi="Arial" w:cs="Arial"/>
          <w:bCs/>
          <w:i/>
        </w:rPr>
        <w:lastRenderedPageBreak/>
        <w:t>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r w:rsidRPr="009C0B76">
        <w:rPr>
          <w:rFonts w:ascii="Arial" w:eastAsia="Calibri" w:hAnsi="Arial" w:cs="Arial"/>
          <w:bCs/>
          <w:i/>
          <w:sz w:val="26"/>
          <w:szCs w:val="26"/>
        </w:rPr>
        <w:t>”</w:t>
      </w:r>
      <w:r w:rsidRPr="009C0B76">
        <w:rPr>
          <w:rFonts w:ascii="Arial" w:eastAsia="Calibri" w:hAnsi="Arial" w:cs="Arial"/>
          <w:bCs/>
          <w:sz w:val="26"/>
          <w:szCs w:val="26"/>
        </w:rPr>
        <w:t>.</w:t>
      </w:r>
    </w:p>
    <w:p w:rsidR="00F649E3" w:rsidRDefault="00F649E3" w:rsidP="00FA36D7">
      <w:pPr>
        <w:pStyle w:val="Sinespaciado"/>
        <w:spacing w:after="120" w:line="360" w:lineRule="auto"/>
        <w:jc w:val="both"/>
        <w:rPr>
          <w:rFonts w:ascii="Arial" w:eastAsia="Calibri" w:hAnsi="Arial" w:cs="Arial"/>
          <w:bCs/>
          <w:sz w:val="26"/>
          <w:szCs w:val="26"/>
        </w:rPr>
      </w:pPr>
    </w:p>
    <w:p w:rsidR="00FA36D7" w:rsidRDefault="00FA36D7" w:rsidP="00F649E3">
      <w:pPr>
        <w:pStyle w:val="Sinespaciado"/>
        <w:spacing w:after="120" w:line="360" w:lineRule="auto"/>
        <w:ind w:firstLine="567"/>
        <w:jc w:val="both"/>
        <w:rPr>
          <w:rFonts w:ascii="Arial" w:eastAsia="Calibri" w:hAnsi="Arial" w:cs="Arial"/>
          <w:bCs/>
          <w:sz w:val="26"/>
          <w:szCs w:val="26"/>
        </w:rPr>
      </w:pPr>
      <w:r>
        <w:rPr>
          <w:rFonts w:ascii="Arial" w:eastAsia="Calibri" w:hAnsi="Arial" w:cs="Arial"/>
          <w:bCs/>
          <w:sz w:val="26"/>
          <w:szCs w:val="26"/>
        </w:rPr>
        <w:t xml:space="preserve">Del análisis realizado a las constancias que fueron remitidas para la substanciación del presente asunto, las cuales hacen prueba plena, en términos del artículo 173, fracción I, de la </w:t>
      </w:r>
      <w:r w:rsidR="002B73A4">
        <w:rPr>
          <w:rFonts w:ascii="Arial" w:eastAsia="Calibri" w:hAnsi="Arial" w:cs="Arial"/>
          <w:bCs/>
          <w:sz w:val="26"/>
          <w:szCs w:val="26"/>
        </w:rPr>
        <w:t xml:space="preserve">reformada </w:t>
      </w:r>
      <w:r>
        <w:rPr>
          <w:rFonts w:ascii="Arial" w:eastAsia="Calibri" w:hAnsi="Arial" w:cs="Arial"/>
          <w:bCs/>
          <w:sz w:val="26"/>
          <w:szCs w:val="26"/>
        </w:rPr>
        <w:t xml:space="preserve">Ley de Justicia Administrativa para el Estado, por constar en actuaciones judiciales, </w:t>
      </w:r>
      <w:r w:rsidRPr="006F3B42">
        <w:rPr>
          <w:rFonts w:ascii="Arial" w:eastAsia="Calibri" w:hAnsi="Arial" w:cs="Arial"/>
          <w:bCs/>
          <w:sz w:val="26"/>
          <w:szCs w:val="26"/>
        </w:rPr>
        <w:t xml:space="preserve">se tiene </w:t>
      </w:r>
      <w:r>
        <w:rPr>
          <w:rFonts w:ascii="Arial" w:eastAsia="Calibri" w:hAnsi="Arial" w:cs="Arial"/>
          <w:bCs/>
          <w:sz w:val="26"/>
          <w:szCs w:val="26"/>
        </w:rPr>
        <w:t>lo siguiente</w:t>
      </w:r>
      <w:r w:rsidR="00F649E3">
        <w:rPr>
          <w:rFonts w:ascii="Arial" w:eastAsia="Calibri" w:hAnsi="Arial" w:cs="Arial"/>
          <w:bCs/>
          <w:sz w:val="26"/>
          <w:szCs w:val="26"/>
        </w:rPr>
        <w:t>:</w:t>
      </w:r>
    </w:p>
    <w:p w:rsidR="00B774EC" w:rsidRPr="00B774EC" w:rsidRDefault="00FA36D7" w:rsidP="00FA36D7">
      <w:pPr>
        <w:pStyle w:val="Prrafodelista"/>
        <w:numPr>
          <w:ilvl w:val="0"/>
          <w:numId w:val="2"/>
        </w:numPr>
        <w:spacing w:after="120" w:line="360" w:lineRule="auto"/>
        <w:ind w:left="851" w:right="616" w:hanging="284"/>
        <w:jc w:val="both"/>
        <w:rPr>
          <w:rFonts w:ascii="Arial" w:hAnsi="Arial" w:cs="Arial"/>
          <w:b/>
          <w:bCs/>
          <w:color w:val="000000"/>
          <w:sz w:val="26"/>
          <w:szCs w:val="26"/>
        </w:rPr>
      </w:pPr>
      <w:proofErr w:type="spellStart"/>
      <w:r w:rsidRPr="008F5F61">
        <w:rPr>
          <w:rFonts w:ascii="Arial" w:hAnsi="Arial" w:cs="Arial"/>
          <w:bCs/>
          <w:color w:val="000000"/>
          <w:sz w:val="26"/>
          <w:szCs w:val="26"/>
        </w:rPr>
        <w:t>Que</w:t>
      </w:r>
      <w:proofErr w:type="spellEnd"/>
      <w:r w:rsidRPr="008F5F61">
        <w:rPr>
          <w:rFonts w:ascii="Arial" w:hAnsi="Arial" w:cs="Arial"/>
          <w:bCs/>
          <w:color w:val="000000"/>
          <w:sz w:val="26"/>
          <w:szCs w:val="26"/>
        </w:rPr>
        <w:t xml:space="preserve"> </w:t>
      </w:r>
      <w:r w:rsidR="00B6416D">
        <w:rPr>
          <w:rFonts w:ascii="Arial" w:hAnsi="Arial" w:cs="Arial"/>
          <w:bCs/>
          <w:color w:val="000000"/>
          <w:sz w:val="26"/>
          <w:szCs w:val="26"/>
        </w:rPr>
        <w:t>**********</w:t>
      </w:r>
      <w:r w:rsidRPr="008F5F61">
        <w:rPr>
          <w:rFonts w:ascii="Arial" w:hAnsi="Arial" w:cs="Arial"/>
          <w:bCs/>
          <w:color w:val="000000"/>
          <w:sz w:val="26"/>
          <w:szCs w:val="26"/>
        </w:rPr>
        <w:t xml:space="preserve">, apoderado legal de la Unión de Crédito Estatal de Productores de Café de Oaxaca, Sociedad Anónima de Capital Variable, presentó escrito de demanda ante </w:t>
      </w:r>
      <w:r w:rsidR="00B774EC">
        <w:rPr>
          <w:rFonts w:ascii="Arial" w:hAnsi="Arial" w:cs="Arial"/>
          <w:bCs/>
          <w:color w:val="000000"/>
          <w:sz w:val="26"/>
          <w:szCs w:val="26"/>
        </w:rPr>
        <w:t xml:space="preserve">el otrora </w:t>
      </w:r>
      <w:r w:rsidRPr="008F5F61">
        <w:rPr>
          <w:rFonts w:ascii="Arial" w:hAnsi="Arial" w:cs="Arial"/>
          <w:bCs/>
          <w:color w:val="000000"/>
          <w:sz w:val="26"/>
          <w:szCs w:val="26"/>
        </w:rPr>
        <w:t>Tribunal</w:t>
      </w:r>
      <w:r w:rsidR="00B774EC">
        <w:rPr>
          <w:rFonts w:ascii="Arial" w:hAnsi="Arial" w:cs="Arial"/>
          <w:bCs/>
          <w:color w:val="000000"/>
          <w:sz w:val="26"/>
          <w:szCs w:val="26"/>
        </w:rPr>
        <w:t xml:space="preserve"> de lo Contencioso Administrativo y de Cuentas del Poder Judicial del Estado de Oaxaca</w:t>
      </w:r>
      <w:r w:rsidRPr="008F5F61">
        <w:rPr>
          <w:rFonts w:ascii="Arial" w:hAnsi="Arial" w:cs="Arial"/>
          <w:bCs/>
          <w:color w:val="000000"/>
          <w:sz w:val="26"/>
          <w:szCs w:val="26"/>
        </w:rPr>
        <w:t xml:space="preserve">, el día 4 </w:t>
      </w:r>
      <w:r w:rsidR="00B774EC">
        <w:rPr>
          <w:rFonts w:ascii="Arial" w:hAnsi="Arial" w:cs="Arial"/>
          <w:bCs/>
          <w:color w:val="000000"/>
          <w:sz w:val="26"/>
          <w:szCs w:val="26"/>
        </w:rPr>
        <w:t>abril de 2016 dos mil dieciséis</w:t>
      </w:r>
      <w:r w:rsidRPr="008F5F61">
        <w:rPr>
          <w:rFonts w:ascii="Arial" w:hAnsi="Arial" w:cs="Arial"/>
          <w:bCs/>
          <w:color w:val="000000"/>
          <w:sz w:val="26"/>
          <w:szCs w:val="26"/>
        </w:rPr>
        <w:t xml:space="preserve">, señalando como acto impugnado la resolución de fecha </w:t>
      </w:r>
      <w:r w:rsidR="00B774EC">
        <w:rPr>
          <w:rFonts w:ascii="Arial" w:hAnsi="Arial" w:cs="Arial"/>
          <w:bCs/>
          <w:color w:val="000000"/>
          <w:sz w:val="26"/>
          <w:szCs w:val="26"/>
        </w:rPr>
        <w:t>16 dieciséis</w:t>
      </w:r>
      <w:r w:rsidRPr="008F5F61">
        <w:rPr>
          <w:rFonts w:ascii="Arial" w:hAnsi="Arial" w:cs="Arial"/>
          <w:bCs/>
          <w:color w:val="000000"/>
          <w:sz w:val="26"/>
          <w:szCs w:val="26"/>
        </w:rPr>
        <w:t xml:space="preserve"> de febrero de </w:t>
      </w:r>
      <w:r>
        <w:rPr>
          <w:rFonts w:ascii="Arial" w:hAnsi="Arial" w:cs="Arial"/>
          <w:bCs/>
          <w:color w:val="000000"/>
          <w:sz w:val="26"/>
          <w:szCs w:val="26"/>
        </w:rPr>
        <w:t xml:space="preserve">2016 </w:t>
      </w:r>
      <w:r w:rsidRPr="008F5F61">
        <w:rPr>
          <w:rFonts w:ascii="Arial" w:hAnsi="Arial" w:cs="Arial"/>
          <w:bCs/>
          <w:color w:val="000000"/>
          <w:sz w:val="26"/>
          <w:szCs w:val="26"/>
        </w:rPr>
        <w:t xml:space="preserve">dos mil dieciséis, emitida por la Registradora del Registro Público de la Propiedad y del </w:t>
      </w:r>
      <w:r w:rsidRPr="008F5F61">
        <w:rPr>
          <w:rFonts w:ascii="Arial" w:hAnsi="Arial" w:cs="Arial"/>
          <w:bCs/>
          <w:color w:val="000000"/>
          <w:sz w:val="26"/>
          <w:szCs w:val="26"/>
        </w:rPr>
        <w:lastRenderedPageBreak/>
        <w:t>Comercio del Distrito Judicial de Miahuatlan de Porfirio D</w:t>
      </w:r>
      <w:r w:rsidR="00B774EC">
        <w:rPr>
          <w:rFonts w:ascii="Arial" w:hAnsi="Arial" w:cs="Arial"/>
          <w:bCs/>
          <w:color w:val="000000"/>
          <w:sz w:val="26"/>
          <w:szCs w:val="26"/>
        </w:rPr>
        <w:t>íaz</w:t>
      </w:r>
      <w:r w:rsidR="00F649E3">
        <w:rPr>
          <w:rFonts w:ascii="Arial" w:hAnsi="Arial" w:cs="Arial"/>
          <w:bCs/>
          <w:color w:val="000000"/>
          <w:sz w:val="26"/>
          <w:szCs w:val="26"/>
        </w:rPr>
        <w:t>.</w:t>
      </w:r>
      <w:r w:rsidR="00B774EC">
        <w:rPr>
          <w:rFonts w:ascii="Arial" w:hAnsi="Arial" w:cs="Arial"/>
          <w:bCs/>
          <w:color w:val="000000"/>
          <w:sz w:val="26"/>
          <w:szCs w:val="26"/>
        </w:rPr>
        <w:t xml:space="preserve"> </w:t>
      </w:r>
    </w:p>
    <w:p w:rsidR="00FA36D7" w:rsidRPr="009333C8" w:rsidRDefault="00B774EC" w:rsidP="00FA36D7">
      <w:pPr>
        <w:pStyle w:val="Prrafodelista"/>
        <w:numPr>
          <w:ilvl w:val="0"/>
          <w:numId w:val="2"/>
        </w:numPr>
        <w:spacing w:after="120" w:line="360" w:lineRule="auto"/>
        <w:ind w:left="851" w:right="616" w:hanging="284"/>
        <w:jc w:val="both"/>
        <w:rPr>
          <w:rFonts w:ascii="Arial" w:hAnsi="Arial" w:cs="Arial"/>
          <w:b/>
          <w:bCs/>
          <w:color w:val="000000"/>
          <w:sz w:val="26"/>
          <w:szCs w:val="26"/>
        </w:rPr>
      </w:pPr>
      <w:r>
        <w:rPr>
          <w:rFonts w:ascii="Arial" w:hAnsi="Arial" w:cs="Arial"/>
          <w:bCs/>
          <w:color w:val="000000"/>
          <w:sz w:val="26"/>
          <w:szCs w:val="26"/>
        </w:rPr>
        <w:t>P</w:t>
      </w:r>
      <w:r w:rsidR="00FA36D7" w:rsidRPr="008F5F61">
        <w:rPr>
          <w:rFonts w:ascii="Arial" w:hAnsi="Arial" w:cs="Arial"/>
          <w:bCs/>
          <w:color w:val="000000"/>
          <w:sz w:val="26"/>
          <w:szCs w:val="26"/>
        </w:rPr>
        <w:t xml:space="preserve">or acuerdo de </w:t>
      </w:r>
      <w:r>
        <w:rPr>
          <w:rFonts w:ascii="Arial" w:hAnsi="Arial" w:cs="Arial"/>
          <w:bCs/>
          <w:color w:val="000000"/>
          <w:sz w:val="26"/>
          <w:szCs w:val="26"/>
        </w:rPr>
        <w:t xml:space="preserve">13 trece de junio </w:t>
      </w:r>
      <w:r w:rsidR="00FA36D7">
        <w:rPr>
          <w:rFonts w:ascii="Arial" w:hAnsi="Arial" w:cs="Arial"/>
          <w:bCs/>
          <w:color w:val="000000"/>
          <w:sz w:val="26"/>
          <w:szCs w:val="26"/>
        </w:rPr>
        <w:t>2016 dos mil dieciséis</w:t>
      </w:r>
      <w:r w:rsidR="00FA36D7" w:rsidRPr="008F5F61">
        <w:rPr>
          <w:rFonts w:ascii="Arial" w:hAnsi="Arial" w:cs="Arial"/>
          <w:bCs/>
          <w:color w:val="000000"/>
          <w:sz w:val="26"/>
          <w:szCs w:val="26"/>
        </w:rPr>
        <w:t>, se admitió a trámite la demanda</w:t>
      </w:r>
      <w:r w:rsidR="00FA36D7">
        <w:rPr>
          <w:rFonts w:ascii="Arial" w:hAnsi="Arial" w:cs="Arial"/>
          <w:bCs/>
          <w:color w:val="000000"/>
          <w:sz w:val="26"/>
          <w:szCs w:val="26"/>
        </w:rPr>
        <w:t xml:space="preserve"> en contra de la citada resolución</w:t>
      </w:r>
      <w:r w:rsidR="00FA36D7" w:rsidRPr="008F5F61">
        <w:rPr>
          <w:rFonts w:ascii="Arial" w:hAnsi="Arial" w:cs="Arial"/>
          <w:bCs/>
          <w:color w:val="000000"/>
          <w:sz w:val="26"/>
          <w:szCs w:val="26"/>
        </w:rPr>
        <w:t xml:space="preserve">, </w:t>
      </w:r>
      <w:r w:rsidR="00FA36D7">
        <w:rPr>
          <w:rFonts w:ascii="Arial" w:hAnsi="Arial" w:cs="Arial"/>
          <w:bCs/>
          <w:color w:val="000000"/>
          <w:sz w:val="26"/>
          <w:szCs w:val="26"/>
        </w:rPr>
        <w:t>ordenándose</w:t>
      </w:r>
      <w:r w:rsidR="00FA36D7" w:rsidRPr="008F5F61">
        <w:rPr>
          <w:rFonts w:ascii="Arial" w:hAnsi="Arial" w:cs="Arial"/>
          <w:bCs/>
          <w:color w:val="000000"/>
          <w:sz w:val="26"/>
          <w:szCs w:val="26"/>
        </w:rPr>
        <w:t xml:space="preserve"> emplazar a las auto</w:t>
      </w:r>
      <w:r w:rsidR="00FA36D7">
        <w:rPr>
          <w:rFonts w:ascii="Arial" w:hAnsi="Arial" w:cs="Arial"/>
          <w:bCs/>
          <w:color w:val="000000"/>
          <w:sz w:val="26"/>
          <w:szCs w:val="26"/>
        </w:rPr>
        <w:t>ridades demandadas</w:t>
      </w:r>
      <w:r w:rsidR="00F649E3">
        <w:rPr>
          <w:rFonts w:ascii="Arial" w:hAnsi="Arial" w:cs="Arial"/>
          <w:bCs/>
          <w:color w:val="000000"/>
          <w:sz w:val="26"/>
          <w:szCs w:val="26"/>
        </w:rPr>
        <w:t>.</w:t>
      </w:r>
      <w:r w:rsidR="00FA36D7">
        <w:rPr>
          <w:rFonts w:ascii="Arial" w:hAnsi="Arial" w:cs="Arial"/>
          <w:bCs/>
          <w:color w:val="000000"/>
          <w:sz w:val="26"/>
          <w:szCs w:val="26"/>
        </w:rPr>
        <w:t xml:space="preserve"> </w:t>
      </w:r>
    </w:p>
    <w:p w:rsidR="00FA36D7" w:rsidRPr="009333C8" w:rsidRDefault="00FA36D7" w:rsidP="00FA36D7">
      <w:pPr>
        <w:pStyle w:val="Prrafodelista"/>
        <w:numPr>
          <w:ilvl w:val="0"/>
          <w:numId w:val="2"/>
        </w:numPr>
        <w:spacing w:line="360" w:lineRule="auto"/>
        <w:ind w:left="851" w:right="616" w:hanging="284"/>
        <w:jc w:val="both"/>
        <w:rPr>
          <w:rFonts w:ascii="Arial" w:hAnsi="Arial" w:cs="Arial"/>
          <w:b/>
          <w:bCs/>
          <w:color w:val="000000"/>
          <w:sz w:val="26"/>
          <w:szCs w:val="26"/>
        </w:rPr>
      </w:pPr>
      <w:r w:rsidRPr="009333C8">
        <w:rPr>
          <w:rFonts w:ascii="Arial" w:hAnsi="Arial" w:cs="Arial"/>
          <w:bCs/>
          <w:color w:val="000000"/>
          <w:sz w:val="26"/>
          <w:szCs w:val="26"/>
        </w:rPr>
        <w:t xml:space="preserve">Mediante proveído de </w:t>
      </w:r>
      <w:r w:rsidR="00B774EC">
        <w:rPr>
          <w:rFonts w:ascii="Arial" w:hAnsi="Arial" w:cs="Arial"/>
          <w:bCs/>
          <w:color w:val="000000"/>
          <w:sz w:val="26"/>
          <w:szCs w:val="26"/>
        </w:rPr>
        <w:t xml:space="preserve">11 de agosto </w:t>
      </w:r>
      <w:r w:rsidRPr="009333C8">
        <w:rPr>
          <w:rFonts w:ascii="Arial" w:hAnsi="Arial" w:cs="Arial"/>
          <w:bCs/>
          <w:color w:val="000000"/>
          <w:sz w:val="26"/>
          <w:szCs w:val="26"/>
        </w:rPr>
        <w:t>de 2016 dos mil dieciséis, se tuvo al Director del Registro Público de la Propiedad y del Comercio en el Estado, y a la Registradora del Registro Público de la Propiedad y de Comercio en el Distrito de Miahuatlán, Oaxaca, contestando la demanda</w:t>
      </w:r>
      <w:r w:rsidR="00F649E3">
        <w:rPr>
          <w:rFonts w:ascii="Arial" w:hAnsi="Arial" w:cs="Arial"/>
          <w:bCs/>
          <w:color w:val="000000"/>
          <w:sz w:val="26"/>
          <w:szCs w:val="26"/>
        </w:rPr>
        <w:t>;</w:t>
      </w:r>
      <w:r w:rsidRPr="009333C8">
        <w:rPr>
          <w:rFonts w:ascii="Arial" w:hAnsi="Arial" w:cs="Arial"/>
          <w:bCs/>
          <w:color w:val="000000"/>
          <w:sz w:val="26"/>
          <w:szCs w:val="26"/>
        </w:rPr>
        <w:t xml:space="preserve"> </w:t>
      </w:r>
    </w:p>
    <w:p w:rsidR="00FA36D7" w:rsidRPr="009333C8" w:rsidRDefault="00B774EC" w:rsidP="00FA36D7">
      <w:pPr>
        <w:pStyle w:val="Prrafodelista"/>
        <w:numPr>
          <w:ilvl w:val="0"/>
          <w:numId w:val="2"/>
        </w:numPr>
        <w:spacing w:line="360" w:lineRule="auto"/>
        <w:ind w:left="851" w:right="616" w:hanging="284"/>
        <w:jc w:val="both"/>
        <w:rPr>
          <w:rFonts w:ascii="Arial" w:hAnsi="Arial" w:cs="Arial"/>
          <w:b/>
          <w:bCs/>
          <w:color w:val="000000"/>
          <w:sz w:val="26"/>
          <w:szCs w:val="26"/>
        </w:rPr>
      </w:pPr>
      <w:r>
        <w:rPr>
          <w:rFonts w:ascii="Arial" w:hAnsi="Arial" w:cs="Arial"/>
          <w:bCs/>
          <w:color w:val="000000"/>
          <w:sz w:val="26"/>
          <w:szCs w:val="26"/>
        </w:rPr>
        <w:t>El 29 veintinueve de enero</w:t>
      </w:r>
      <w:r w:rsidR="00FA36D7" w:rsidRPr="009333C8">
        <w:rPr>
          <w:rFonts w:ascii="Arial" w:hAnsi="Arial" w:cs="Arial"/>
          <w:bCs/>
          <w:color w:val="000000"/>
          <w:sz w:val="26"/>
          <w:szCs w:val="26"/>
        </w:rPr>
        <w:t xml:space="preserve"> de 201</w:t>
      </w:r>
      <w:r>
        <w:rPr>
          <w:rFonts w:ascii="Arial" w:hAnsi="Arial" w:cs="Arial"/>
          <w:bCs/>
          <w:color w:val="000000"/>
          <w:sz w:val="26"/>
          <w:szCs w:val="26"/>
        </w:rPr>
        <w:t>8</w:t>
      </w:r>
      <w:r w:rsidR="00FA36D7" w:rsidRPr="009333C8">
        <w:rPr>
          <w:rFonts w:ascii="Arial" w:hAnsi="Arial" w:cs="Arial"/>
          <w:bCs/>
          <w:color w:val="000000"/>
          <w:sz w:val="26"/>
          <w:szCs w:val="26"/>
        </w:rPr>
        <w:t xml:space="preserve"> dos mil dieci</w:t>
      </w:r>
      <w:r>
        <w:rPr>
          <w:rFonts w:ascii="Arial" w:hAnsi="Arial" w:cs="Arial"/>
          <w:bCs/>
          <w:color w:val="000000"/>
          <w:sz w:val="26"/>
          <w:szCs w:val="26"/>
        </w:rPr>
        <w:t>ocho</w:t>
      </w:r>
      <w:r w:rsidR="00FA36D7" w:rsidRPr="009333C8">
        <w:rPr>
          <w:rFonts w:ascii="Arial" w:hAnsi="Arial" w:cs="Arial"/>
          <w:bCs/>
          <w:color w:val="000000"/>
          <w:sz w:val="26"/>
          <w:szCs w:val="26"/>
        </w:rPr>
        <w:t>, se dictó la sentencia en revisión</w:t>
      </w:r>
      <w:r w:rsidR="00F649E3">
        <w:rPr>
          <w:rFonts w:ascii="Arial" w:hAnsi="Arial" w:cs="Arial"/>
          <w:sz w:val="24"/>
          <w:szCs w:val="24"/>
        </w:rPr>
        <w:t>.</w:t>
      </w:r>
      <w:r w:rsidR="00FA36D7" w:rsidRPr="009333C8">
        <w:rPr>
          <w:rFonts w:ascii="Arial" w:hAnsi="Arial" w:cs="Arial"/>
          <w:sz w:val="24"/>
          <w:szCs w:val="24"/>
        </w:rPr>
        <w:t xml:space="preserve"> </w:t>
      </w:r>
    </w:p>
    <w:p w:rsidR="00F649E3" w:rsidRDefault="00F649E3" w:rsidP="00FA36D7">
      <w:pPr>
        <w:spacing w:line="360" w:lineRule="auto"/>
        <w:ind w:right="49"/>
        <w:jc w:val="both"/>
        <w:rPr>
          <w:rFonts w:ascii="Arial" w:hAnsi="Arial" w:cs="Arial"/>
          <w:bCs/>
          <w:color w:val="000000"/>
          <w:sz w:val="26"/>
          <w:szCs w:val="26"/>
        </w:rPr>
      </w:pPr>
    </w:p>
    <w:p w:rsidR="00B774EC" w:rsidRDefault="00FA36D7" w:rsidP="00FA36D7">
      <w:pPr>
        <w:spacing w:line="360" w:lineRule="auto"/>
        <w:ind w:right="49"/>
        <w:jc w:val="both"/>
        <w:rPr>
          <w:rFonts w:ascii="Arial" w:hAnsi="Arial" w:cs="Arial"/>
          <w:bCs/>
          <w:color w:val="000000"/>
          <w:sz w:val="26"/>
          <w:szCs w:val="26"/>
        </w:rPr>
      </w:pPr>
      <w:r>
        <w:rPr>
          <w:rFonts w:ascii="Arial" w:hAnsi="Arial" w:cs="Arial"/>
          <w:bCs/>
          <w:color w:val="000000"/>
          <w:sz w:val="26"/>
          <w:szCs w:val="26"/>
        </w:rPr>
        <w:t xml:space="preserve">Ahora, en el acto impugnado, se encuentra el siguiente texto: </w:t>
      </w:r>
    </w:p>
    <w:p w:rsidR="00F649E3" w:rsidRDefault="00F649E3" w:rsidP="00FA36D7">
      <w:pPr>
        <w:spacing w:line="360" w:lineRule="auto"/>
        <w:ind w:right="49"/>
        <w:jc w:val="both"/>
        <w:rPr>
          <w:rFonts w:ascii="Arial" w:eastAsia="Calibri" w:hAnsi="Arial" w:cs="Arial"/>
          <w:i/>
        </w:rPr>
      </w:pPr>
    </w:p>
    <w:p w:rsidR="00B774EC" w:rsidRDefault="00FC7FF2" w:rsidP="00B774EC">
      <w:pPr>
        <w:spacing w:after="120" w:line="360" w:lineRule="auto"/>
        <w:ind w:left="567" w:right="758"/>
        <w:jc w:val="both"/>
        <w:rPr>
          <w:rFonts w:ascii="Arial" w:eastAsia="Calibri" w:hAnsi="Arial" w:cs="Arial"/>
          <w:i/>
        </w:rPr>
      </w:pPr>
      <w:r>
        <w:rPr>
          <w:rFonts w:ascii="Arial" w:eastAsia="Calibri" w:hAnsi="Arial" w:cs="Arial"/>
          <w:i/>
        </w:rPr>
        <w:t>“-</w:t>
      </w:r>
      <w:r w:rsidR="00C04364">
        <w:rPr>
          <w:rFonts w:ascii="Arial" w:eastAsia="Calibri" w:hAnsi="Arial" w:cs="Arial"/>
          <w:i/>
        </w:rPr>
        <w:t xml:space="preserve"> - - - -</w:t>
      </w:r>
      <w:r>
        <w:rPr>
          <w:rFonts w:ascii="Arial" w:eastAsia="Calibri" w:hAnsi="Arial" w:cs="Arial"/>
          <w:i/>
        </w:rPr>
        <w:t xml:space="preserve">SIENDO LAS 11:45 HORAS DEL DÍA CINCO DE FEBRERO DEL DOS MIL DIECISÉIS, SE PRESENTO PARA SU REGISTRO EL PRESENTE DOCUMENTO, EL CUAL CON FUNDAMENTO EN LO DISPUESTO EN EL ARTICULO 2799 DEL CODIGO CIVIL VIGENTE PARA EL ESTADO DE OAXACA, 1, 2, 3, 14, 2892 DEL REGLAMENTO DEL REGISTRO PUBLICO DE LA PROPIEDAD Y DEL COMERCIO DEL ESTADO DE OAXACA, SE DENIEGA </w:t>
      </w:r>
      <w:r w:rsidR="00D251EF">
        <w:rPr>
          <w:rFonts w:ascii="Arial" w:eastAsia="Calibri" w:hAnsi="Arial" w:cs="Arial"/>
          <w:i/>
        </w:rPr>
        <w:t xml:space="preserve">REALIZANDOSE LA INSCRIPCION </w:t>
      </w:r>
      <w:r w:rsidR="00D251EF">
        <w:rPr>
          <w:rFonts w:ascii="Arial" w:eastAsia="Calibri" w:hAnsi="Arial" w:cs="Arial"/>
          <w:b/>
          <w:i/>
        </w:rPr>
        <w:t xml:space="preserve">PREVENTIVA </w:t>
      </w:r>
      <w:r w:rsidR="00D251EF">
        <w:rPr>
          <w:rFonts w:ascii="Arial" w:eastAsia="Calibri" w:hAnsi="Arial" w:cs="Arial"/>
          <w:i/>
        </w:rPr>
        <w:t xml:space="preserve">DEL PRESENTE CONTRATO DE APERTURA DE CREDITO EN CUENTA CORRIENTE CON GARANTÍA HIPOTECARIA, TODA VEZ QUE NO CUMPLE CON LAS FORMALIDADES ESTABLECIDAS EN LA LEY PARA UNA INSCRPCIÓN DEFINITIVA, YA QUE EL MONTO DEL CRÉDITO EXCEDE LOS TRESCIENTOS TREINTA Y CINCO SALARIOS MÍNIMOS QUE FIJA EL ORDENAMIENTO CIVIL, POR LO TANTO DEBIÓ CONSTAR EN ESCRITURA PÚBLICA, LO QUE EN ESPECIE NO ACONTENCIÓ, BAJO EL REGISTRO NÚMERO </w:t>
      </w:r>
      <w:r w:rsidR="00CA163F">
        <w:rPr>
          <w:rFonts w:ascii="Arial" w:eastAsia="Calibri" w:hAnsi="Arial" w:cs="Arial"/>
          <w:b/>
          <w:i/>
        </w:rPr>
        <w:t>DOSC</w:t>
      </w:r>
      <w:r w:rsidR="00D251EF">
        <w:rPr>
          <w:rFonts w:ascii="Arial" w:eastAsia="Calibri" w:hAnsi="Arial" w:cs="Arial"/>
          <w:b/>
          <w:i/>
        </w:rPr>
        <w:t>I</w:t>
      </w:r>
      <w:r w:rsidR="00CA163F">
        <w:rPr>
          <w:rFonts w:ascii="Arial" w:eastAsia="Calibri" w:hAnsi="Arial" w:cs="Arial"/>
          <w:b/>
          <w:i/>
        </w:rPr>
        <w:t>E</w:t>
      </w:r>
      <w:r w:rsidR="00D251EF">
        <w:rPr>
          <w:rFonts w:ascii="Arial" w:eastAsia="Calibri" w:hAnsi="Arial" w:cs="Arial"/>
          <w:b/>
          <w:i/>
        </w:rPr>
        <w:t>N</w:t>
      </w:r>
      <w:r w:rsidR="00CA163F">
        <w:rPr>
          <w:rFonts w:ascii="Arial" w:eastAsia="Calibri" w:hAnsi="Arial" w:cs="Arial"/>
          <w:b/>
          <w:i/>
        </w:rPr>
        <w:t>T</w:t>
      </w:r>
      <w:r w:rsidR="00D251EF">
        <w:rPr>
          <w:rFonts w:ascii="Arial" w:eastAsia="Calibri" w:hAnsi="Arial" w:cs="Arial"/>
          <w:b/>
          <w:i/>
        </w:rPr>
        <w:t xml:space="preserve">OS TREINTA Y OCHO, </w:t>
      </w:r>
      <w:r w:rsidR="00D251EF">
        <w:rPr>
          <w:rFonts w:ascii="Arial" w:eastAsia="Calibri" w:hAnsi="Arial" w:cs="Arial"/>
          <w:i/>
        </w:rPr>
        <w:t xml:space="preserve">QUE OBRA EN EL LIBRO NÚMERO </w:t>
      </w:r>
      <w:r w:rsidR="00D251EF">
        <w:rPr>
          <w:rFonts w:ascii="Arial" w:eastAsia="Calibri" w:hAnsi="Arial" w:cs="Arial"/>
          <w:b/>
          <w:i/>
        </w:rPr>
        <w:t>CUATRO,</w:t>
      </w:r>
      <w:r w:rsidR="00D251EF">
        <w:rPr>
          <w:rFonts w:ascii="Arial" w:eastAsia="Calibri" w:hAnsi="Arial" w:cs="Arial"/>
          <w:i/>
        </w:rPr>
        <w:t xml:space="preserve"> DE LA </w:t>
      </w:r>
      <w:r w:rsidR="00D251EF">
        <w:rPr>
          <w:rFonts w:ascii="Arial" w:eastAsia="Calibri" w:hAnsi="Arial" w:cs="Arial"/>
          <w:b/>
          <w:i/>
        </w:rPr>
        <w:t xml:space="preserve">SECCIÓN SEGUNDA, “HIPOTECAS Y DEMAS GRAVAMENES”, </w:t>
      </w:r>
      <w:r w:rsidR="00D251EF">
        <w:rPr>
          <w:rFonts w:ascii="Arial" w:eastAsia="Calibri" w:hAnsi="Arial" w:cs="Arial"/>
          <w:i/>
        </w:rPr>
        <w:t>DEL REGISTRO PÚBLICO DE LA PROPIEDAD DE ÉSTE DISTRITO JUDICIAL</w:t>
      </w:r>
      <w:r w:rsidR="00F649E3">
        <w:rPr>
          <w:rFonts w:ascii="Arial" w:eastAsia="Calibri" w:hAnsi="Arial" w:cs="Arial"/>
          <w:i/>
        </w:rPr>
        <w:t>.”.</w:t>
      </w:r>
    </w:p>
    <w:p w:rsidR="00F649E3" w:rsidRDefault="00B774EC" w:rsidP="00F649E3">
      <w:pPr>
        <w:spacing w:after="120" w:line="360" w:lineRule="auto"/>
        <w:ind w:right="49" w:firstLine="567"/>
        <w:jc w:val="both"/>
        <w:rPr>
          <w:rFonts w:ascii="Arial" w:hAnsi="Arial" w:cs="Arial"/>
          <w:bCs/>
          <w:color w:val="000000"/>
          <w:sz w:val="26"/>
          <w:szCs w:val="26"/>
        </w:rPr>
      </w:pPr>
      <w:r w:rsidRPr="00B774EC">
        <w:rPr>
          <w:rFonts w:ascii="Arial" w:eastAsia="Calibri" w:hAnsi="Arial" w:cs="Arial"/>
          <w:sz w:val="26"/>
          <w:szCs w:val="26"/>
        </w:rPr>
        <w:t>D</w:t>
      </w:r>
      <w:r w:rsidR="00FA36D7" w:rsidRPr="00B774EC">
        <w:rPr>
          <w:rFonts w:ascii="Arial" w:hAnsi="Arial" w:cs="Arial"/>
          <w:bCs/>
          <w:color w:val="000000"/>
          <w:sz w:val="26"/>
          <w:szCs w:val="26"/>
        </w:rPr>
        <w:t xml:space="preserve">e </w:t>
      </w:r>
      <w:r w:rsidR="00FA36D7">
        <w:rPr>
          <w:rFonts w:ascii="Arial" w:hAnsi="Arial" w:cs="Arial"/>
          <w:bCs/>
          <w:color w:val="000000"/>
          <w:sz w:val="26"/>
          <w:szCs w:val="26"/>
        </w:rPr>
        <w:t>lo anterior, se advierte que la autoridad emisora del acto impugnado aplicó</w:t>
      </w:r>
      <w:r w:rsidR="00FA36D7" w:rsidRPr="005A719F">
        <w:rPr>
          <w:rFonts w:ascii="Arial" w:hAnsi="Arial" w:cs="Arial"/>
          <w:bCs/>
          <w:color w:val="000000"/>
          <w:sz w:val="26"/>
          <w:szCs w:val="26"/>
        </w:rPr>
        <w:t xml:space="preserve"> los artículos 2799  y 2892  del Código Civil del Estado de Oaxaca, y </w:t>
      </w:r>
      <w:r w:rsidR="00FA36D7">
        <w:rPr>
          <w:rFonts w:ascii="Arial" w:hAnsi="Arial" w:cs="Arial"/>
          <w:bCs/>
          <w:color w:val="000000"/>
          <w:sz w:val="26"/>
          <w:szCs w:val="26"/>
        </w:rPr>
        <w:t>que</w:t>
      </w:r>
      <w:r w:rsidR="00FA36D7" w:rsidRPr="005A719F">
        <w:rPr>
          <w:rFonts w:ascii="Arial" w:hAnsi="Arial" w:cs="Arial"/>
          <w:bCs/>
          <w:color w:val="000000"/>
          <w:sz w:val="26"/>
          <w:szCs w:val="26"/>
        </w:rPr>
        <w:t xml:space="preserve"> la calificación </w:t>
      </w:r>
      <w:r w:rsidR="00FA36D7">
        <w:rPr>
          <w:rFonts w:ascii="Arial" w:hAnsi="Arial" w:cs="Arial"/>
          <w:bCs/>
          <w:color w:val="000000"/>
          <w:sz w:val="26"/>
          <w:szCs w:val="26"/>
        </w:rPr>
        <w:t xml:space="preserve">realizada </w:t>
      </w:r>
      <w:r w:rsidR="00FA36D7" w:rsidRPr="005A719F">
        <w:rPr>
          <w:rFonts w:ascii="Arial" w:hAnsi="Arial" w:cs="Arial"/>
          <w:bCs/>
          <w:color w:val="000000"/>
          <w:sz w:val="26"/>
          <w:szCs w:val="26"/>
        </w:rPr>
        <w:t xml:space="preserve">fue en el sentido de inscribirla </w:t>
      </w:r>
      <w:r w:rsidR="00A05B95">
        <w:rPr>
          <w:rFonts w:ascii="Arial" w:hAnsi="Arial" w:cs="Arial"/>
          <w:bCs/>
          <w:color w:val="000000"/>
          <w:sz w:val="26"/>
          <w:szCs w:val="26"/>
        </w:rPr>
        <w:t xml:space="preserve">en forma preventiva </w:t>
      </w:r>
      <w:r w:rsidR="00FA36D7" w:rsidRPr="005A719F">
        <w:rPr>
          <w:rFonts w:ascii="Arial" w:hAnsi="Arial" w:cs="Arial"/>
          <w:bCs/>
          <w:color w:val="000000"/>
          <w:sz w:val="26"/>
          <w:szCs w:val="26"/>
        </w:rPr>
        <w:t>y no definitiva</w:t>
      </w:r>
      <w:r w:rsidR="00FA36D7">
        <w:rPr>
          <w:rFonts w:ascii="Arial" w:hAnsi="Arial" w:cs="Arial"/>
          <w:bCs/>
          <w:color w:val="000000"/>
          <w:sz w:val="26"/>
          <w:szCs w:val="26"/>
        </w:rPr>
        <w:t>;</w:t>
      </w:r>
      <w:r w:rsidR="00FA36D7" w:rsidRPr="005A719F">
        <w:rPr>
          <w:rFonts w:ascii="Arial" w:hAnsi="Arial" w:cs="Arial"/>
          <w:bCs/>
          <w:color w:val="000000"/>
          <w:sz w:val="26"/>
          <w:szCs w:val="26"/>
        </w:rPr>
        <w:t xml:space="preserve"> </w:t>
      </w:r>
      <w:r w:rsidR="00FA36D7">
        <w:rPr>
          <w:rFonts w:ascii="Arial" w:hAnsi="Arial" w:cs="Arial"/>
          <w:bCs/>
          <w:color w:val="000000"/>
          <w:sz w:val="26"/>
          <w:szCs w:val="26"/>
        </w:rPr>
        <w:t>entonces, el</w:t>
      </w:r>
      <w:r w:rsidR="00FA36D7" w:rsidRPr="005A719F">
        <w:rPr>
          <w:rFonts w:ascii="Arial" w:hAnsi="Arial" w:cs="Arial"/>
          <w:bCs/>
          <w:color w:val="000000"/>
          <w:sz w:val="26"/>
          <w:szCs w:val="26"/>
        </w:rPr>
        <w:t xml:space="preserve"> </w:t>
      </w:r>
      <w:r w:rsidR="00FA36D7">
        <w:rPr>
          <w:rFonts w:ascii="Arial" w:hAnsi="Arial" w:cs="Arial"/>
          <w:bCs/>
          <w:color w:val="000000"/>
          <w:sz w:val="26"/>
          <w:szCs w:val="26"/>
        </w:rPr>
        <w:t xml:space="preserve">hoy </w:t>
      </w:r>
      <w:r w:rsidR="00FA36D7">
        <w:rPr>
          <w:rFonts w:ascii="Arial" w:hAnsi="Arial" w:cs="Arial"/>
          <w:bCs/>
          <w:color w:val="000000"/>
          <w:sz w:val="26"/>
          <w:szCs w:val="26"/>
        </w:rPr>
        <w:lastRenderedPageBreak/>
        <w:t xml:space="preserve">recurrente </w:t>
      </w:r>
      <w:r w:rsidR="00FA36D7" w:rsidRPr="005A719F">
        <w:rPr>
          <w:rFonts w:ascii="Arial" w:hAnsi="Arial" w:cs="Arial"/>
          <w:bCs/>
          <w:color w:val="000000"/>
          <w:sz w:val="26"/>
          <w:szCs w:val="26"/>
        </w:rPr>
        <w:t xml:space="preserve">estuvo en </w:t>
      </w:r>
      <w:r w:rsidR="00FA36D7">
        <w:rPr>
          <w:rFonts w:ascii="Arial" w:hAnsi="Arial" w:cs="Arial"/>
          <w:bCs/>
          <w:color w:val="000000"/>
          <w:sz w:val="26"/>
          <w:szCs w:val="26"/>
        </w:rPr>
        <w:t xml:space="preserve">la </w:t>
      </w:r>
      <w:r w:rsidR="00FA36D7" w:rsidRPr="005A719F">
        <w:rPr>
          <w:rFonts w:ascii="Arial" w:hAnsi="Arial" w:cs="Arial"/>
          <w:bCs/>
          <w:color w:val="000000"/>
          <w:sz w:val="26"/>
          <w:szCs w:val="26"/>
        </w:rPr>
        <w:t>posibilidad de recurrirla ante el Director del Registro Público de la Propiedad y en caso de obtener la confirmación debió reclamar</w:t>
      </w:r>
      <w:r w:rsidR="00FA36D7">
        <w:rPr>
          <w:rFonts w:ascii="Arial" w:hAnsi="Arial" w:cs="Arial"/>
          <w:bCs/>
          <w:color w:val="000000"/>
          <w:sz w:val="26"/>
          <w:szCs w:val="26"/>
        </w:rPr>
        <w:t>la</w:t>
      </w:r>
      <w:r w:rsidR="00FA36D7" w:rsidRPr="005A719F">
        <w:rPr>
          <w:rFonts w:ascii="Arial" w:hAnsi="Arial" w:cs="Arial"/>
          <w:bCs/>
          <w:color w:val="000000"/>
          <w:sz w:val="26"/>
          <w:szCs w:val="26"/>
        </w:rPr>
        <w:t xml:space="preserve"> en juicio suma</w:t>
      </w:r>
      <w:r w:rsidR="00FA36D7">
        <w:rPr>
          <w:rFonts w:ascii="Arial" w:hAnsi="Arial" w:cs="Arial"/>
          <w:bCs/>
          <w:color w:val="000000"/>
          <w:sz w:val="26"/>
          <w:szCs w:val="26"/>
        </w:rPr>
        <w:t>rio ante la autoridad judicial competente</w:t>
      </w:r>
      <w:r w:rsidR="00F649E3">
        <w:rPr>
          <w:rFonts w:ascii="Arial" w:hAnsi="Arial" w:cs="Arial"/>
          <w:bCs/>
          <w:color w:val="000000"/>
          <w:sz w:val="26"/>
          <w:szCs w:val="26"/>
        </w:rPr>
        <w:t>.</w:t>
      </w:r>
    </w:p>
    <w:p w:rsidR="00F649E3" w:rsidRDefault="00A05B95" w:rsidP="00F649E3">
      <w:pPr>
        <w:spacing w:after="120" w:line="360" w:lineRule="auto"/>
        <w:ind w:right="49" w:firstLine="567"/>
        <w:jc w:val="both"/>
        <w:rPr>
          <w:rFonts w:ascii="Arial" w:hAnsi="Arial" w:cs="Arial"/>
          <w:bCs/>
          <w:sz w:val="26"/>
          <w:szCs w:val="26"/>
        </w:rPr>
      </w:pPr>
      <w:r>
        <w:rPr>
          <w:rFonts w:ascii="Arial" w:hAnsi="Arial" w:cs="Arial"/>
          <w:bCs/>
          <w:color w:val="000000"/>
          <w:sz w:val="26"/>
          <w:szCs w:val="26"/>
        </w:rPr>
        <w:t xml:space="preserve"> </w:t>
      </w:r>
      <w:r w:rsidR="00FA36D7">
        <w:rPr>
          <w:rFonts w:ascii="Arial" w:hAnsi="Arial" w:cs="Arial"/>
          <w:bCs/>
          <w:color w:val="000000"/>
          <w:sz w:val="26"/>
          <w:szCs w:val="26"/>
        </w:rPr>
        <w:t xml:space="preserve">Por consiguiente el procedimiento llevado a cabo por la Primera Instancia, resulta ilegal, debido a que este </w:t>
      </w:r>
      <w:r w:rsidR="00FA36D7">
        <w:rPr>
          <w:rFonts w:ascii="Arial" w:hAnsi="Arial" w:cs="Arial"/>
          <w:bCs/>
          <w:sz w:val="26"/>
          <w:szCs w:val="26"/>
        </w:rPr>
        <w:t>Tribunal se encuentra impedido para analizar la legalidad o no de dicha determinación</w:t>
      </w:r>
      <w:r w:rsidR="00FA36D7" w:rsidRPr="00DD1937">
        <w:rPr>
          <w:rFonts w:ascii="Arial" w:hAnsi="Arial" w:cs="Arial"/>
          <w:bCs/>
          <w:sz w:val="26"/>
          <w:szCs w:val="26"/>
        </w:rPr>
        <w:t xml:space="preserve">, </w:t>
      </w:r>
      <w:r w:rsidR="00FA36D7">
        <w:rPr>
          <w:rFonts w:ascii="Arial" w:hAnsi="Arial" w:cs="Arial"/>
          <w:bCs/>
          <w:sz w:val="26"/>
          <w:szCs w:val="26"/>
        </w:rPr>
        <w:t>en razón a que existen disposiciones en las que se determina qué hacer frente a la calificación realizada; y al no haberlo considerado así la resolutora, afectó</w:t>
      </w:r>
      <w:r w:rsidR="00FA36D7" w:rsidRPr="00DD1937">
        <w:rPr>
          <w:rFonts w:ascii="Arial" w:hAnsi="Arial" w:cs="Arial"/>
          <w:bCs/>
          <w:sz w:val="26"/>
          <w:szCs w:val="26"/>
        </w:rPr>
        <w:t xml:space="preserve"> la seguridad jurídica erga omnes que se pretende tutelar con la institución del Registro Público de la Propiedad, </w:t>
      </w:r>
      <w:r w:rsidR="00FA36D7">
        <w:rPr>
          <w:rFonts w:ascii="Arial" w:hAnsi="Arial" w:cs="Arial"/>
          <w:bCs/>
          <w:sz w:val="26"/>
          <w:szCs w:val="26"/>
        </w:rPr>
        <w:t xml:space="preserve">al hacer </w:t>
      </w:r>
      <w:r w:rsidR="00FA36D7" w:rsidRPr="00DD1937">
        <w:rPr>
          <w:rFonts w:ascii="Arial" w:hAnsi="Arial" w:cs="Arial"/>
          <w:bCs/>
          <w:sz w:val="26"/>
          <w:szCs w:val="26"/>
        </w:rPr>
        <w:t xml:space="preserve">una indebida incursión de </w:t>
      </w:r>
      <w:r w:rsidR="00FA36D7">
        <w:rPr>
          <w:rFonts w:ascii="Arial" w:hAnsi="Arial" w:cs="Arial"/>
          <w:bCs/>
          <w:sz w:val="26"/>
          <w:szCs w:val="26"/>
        </w:rPr>
        <w:t xml:space="preserve">este Tribunal </w:t>
      </w:r>
      <w:r>
        <w:rPr>
          <w:rFonts w:ascii="Arial" w:hAnsi="Arial" w:cs="Arial"/>
          <w:bCs/>
          <w:sz w:val="26"/>
          <w:szCs w:val="26"/>
        </w:rPr>
        <w:t xml:space="preserve">de Justicia </w:t>
      </w:r>
      <w:r w:rsidR="00FA36D7">
        <w:rPr>
          <w:rFonts w:ascii="Arial" w:hAnsi="Arial" w:cs="Arial"/>
          <w:bCs/>
          <w:sz w:val="26"/>
          <w:szCs w:val="26"/>
        </w:rPr>
        <w:t>Administrativ</w:t>
      </w:r>
      <w:r>
        <w:rPr>
          <w:rFonts w:ascii="Arial" w:hAnsi="Arial" w:cs="Arial"/>
          <w:bCs/>
          <w:sz w:val="26"/>
          <w:szCs w:val="26"/>
        </w:rPr>
        <w:t>a</w:t>
      </w:r>
      <w:r w:rsidR="00FA36D7">
        <w:rPr>
          <w:rFonts w:ascii="Arial" w:hAnsi="Arial" w:cs="Arial"/>
          <w:bCs/>
          <w:sz w:val="26"/>
          <w:szCs w:val="26"/>
        </w:rPr>
        <w:t xml:space="preserve"> </w:t>
      </w:r>
      <w:r w:rsidR="00FA36D7" w:rsidRPr="00DD1937">
        <w:rPr>
          <w:rFonts w:ascii="Arial" w:hAnsi="Arial" w:cs="Arial"/>
          <w:bCs/>
          <w:sz w:val="26"/>
          <w:szCs w:val="26"/>
        </w:rPr>
        <w:t>en el campo del Derecho Civil, con el pretexto de estarse examinando la legalidad de un acto de autoridad</w:t>
      </w:r>
      <w:r w:rsidR="00FA36D7">
        <w:rPr>
          <w:rFonts w:ascii="Arial" w:hAnsi="Arial" w:cs="Arial"/>
          <w:bCs/>
          <w:sz w:val="26"/>
          <w:szCs w:val="26"/>
        </w:rPr>
        <w:t xml:space="preserve"> administrativa, p</w:t>
      </w:r>
      <w:r w:rsidR="00FA36D7" w:rsidRPr="00DD1937">
        <w:rPr>
          <w:rFonts w:ascii="Arial" w:hAnsi="Arial" w:cs="Arial"/>
          <w:bCs/>
          <w:sz w:val="26"/>
          <w:szCs w:val="26"/>
        </w:rPr>
        <w:t xml:space="preserve">ues la cuestión planteada, más que referirse en esencia </w:t>
      </w:r>
      <w:r w:rsidR="00FA36D7">
        <w:rPr>
          <w:rFonts w:ascii="Arial" w:hAnsi="Arial" w:cs="Arial"/>
          <w:bCs/>
          <w:sz w:val="26"/>
          <w:szCs w:val="26"/>
        </w:rPr>
        <w:t>a la legalidad de un acto típico</w:t>
      </w:r>
      <w:r w:rsidR="00FA36D7" w:rsidRPr="00DD1937">
        <w:rPr>
          <w:rFonts w:ascii="Arial" w:hAnsi="Arial" w:cs="Arial"/>
          <w:bCs/>
          <w:sz w:val="26"/>
          <w:szCs w:val="26"/>
        </w:rPr>
        <w:t xml:space="preserve"> y esencialmente administrativo, estaría afectando una situación de derecho civil, gobernada por normas de derecho civil, </w:t>
      </w:r>
      <w:r w:rsidR="00FA36D7">
        <w:rPr>
          <w:rFonts w:ascii="Arial" w:hAnsi="Arial" w:cs="Arial"/>
          <w:bCs/>
          <w:sz w:val="26"/>
          <w:szCs w:val="26"/>
        </w:rPr>
        <w:t>tal como lo establece el citado artículo 2892 del Código Civil, en relación directa con el artículo 424 fracción I del Código de Procedimientos Civiles para el Estado de Oaxaca</w:t>
      </w:r>
      <w:r w:rsidR="00F649E3">
        <w:rPr>
          <w:rFonts w:ascii="Arial" w:hAnsi="Arial" w:cs="Arial"/>
          <w:bCs/>
          <w:sz w:val="26"/>
          <w:szCs w:val="26"/>
        </w:rPr>
        <w:t>.</w:t>
      </w:r>
    </w:p>
    <w:p w:rsidR="00F649E3" w:rsidRDefault="00FA36D7" w:rsidP="00F649E3">
      <w:pPr>
        <w:spacing w:after="120" w:line="360" w:lineRule="auto"/>
        <w:ind w:right="49" w:firstLine="567"/>
        <w:jc w:val="both"/>
        <w:rPr>
          <w:rFonts w:ascii="Arial" w:hAnsi="Arial" w:cs="Arial"/>
          <w:bCs/>
          <w:color w:val="000000"/>
          <w:sz w:val="26"/>
          <w:szCs w:val="26"/>
        </w:rPr>
      </w:pPr>
      <w:r>
        <w:rPr>
          <w:rFonts w:ascii="Arial" w:hAnsi="Arial" w:cs="Arial"/>
          <w:bCs/>
          <w:sz w:val="26"/>
          <w:szCs w:val="26"/>
        </w:rPr>
        <w:t xml:space="preserve"> </w:t>
      </w:r>
      <w:r>
        <w:rPr>
          <w:rFonts w:ascii="Arial" w:hAnsi="Arial" w:cs="Arial"/>
          <w:bCs/>
          <w:color w:val="000000"/>
          <w:sz w:val="26"/>
          <w:szCs w:val="26"/>
        </w:rPr>
        <w:t>Por tanto, al estar en presencia de un acto que se</w:t>
      </w:r>
      <w:r w:rsidRPr="000C24DC">
        <w:rPr>
          <w:rFonts w:ascii="Arial" w:hAnsi="Arial" w:cs="Arial"/>
          <w:bCs/>
          <w:color w:val="000000"/>
          <w:sz w:val="26"/>
          <w:szCs w:val="26"/>
        </w:rPr>
        <w:t xml:space="preserve"> enmarca en el dere</w:t>
      </w:r>
      <w:r>
        <w:rPr>
          <w:rFonts w:ascii="Arial" w:hAnsi="Arial" w:cs="Arial"/>
          <w:bCs/>
          <w:color w:val="000000"/>
          <w:sz w:val="26"/>
          <w:szCs w:val="26"/>
        </w:rPr>
        <w:t xml:space="preserve">cho privado y no administrativo, es que este Tribunal se declara </w:t>
      </w:r>
      <w:r w:rsidRPr="00522DD1">
        <w:rPr>
          <w:rFonts w:ascii="Arial" w:eastAsia="Calibri" w:hAnsi="Arial" w:cs="Arial"/>
          <w:b/>
          <w:bCs/>
          <w:iCs/>
          <w:sz w:val="26"/>
          <w:szCs w:val="26"/>
        </w:rPr>
        <w:t>INCOMPETENTE</w:t>
      </w:r>
      <w:r>
        <w:rPr>
          <w:rFonts w:ascii="Arial" w:eastAsia="Calibri" w:hAnsi="Arial" w:cs="Arial"/>
          <w:b/>
          <w:bCs/>
          <w:iCs/>
          <w:sz w:val="26"/>
          <w:szCs w:val="26"/>
        </w:rPr>
        <w:t xml:space="preserve"> POR RAZÓN DE LA MATERIA</w:t>
      </w:r>
      <w:r>
        <w:rPr>
          <w:rFonts w:ascii="Arial" w:hAnsi="Arial" w:cs="Arial"/>
          <w:bCs/>
          <w:color w:val="000000"/>
          <w:sz w:val="26"/>
          <w:szCs w:val="26"/>
        </w:rPr>
        <w:t xml:space="preserve"> </w:t>
      </w:r>
      <w:r>
        <w:rPr>
          <w:rFonts w:ascii="Arial" w:eastAsia="Calibri" w:hAnsi="Arial" w:cs="Arial"/>
          <w:bCs/>
          <w:iCs/>
          <w:sz w:val="26"/>
          <w:szCs w:val="26"/>
        </w:rPr>
        <w:t xml:space="preserve">para conocer del presente asunto, en consecuencia </w:t>
      </w:r>
      <w:r>
        <w:rPr>
          <w:rFonts w:ascii="Arial" w:hAnsi="Arial" w:cs="Arial"/>
          <w:bCs/>
          <w:color w:val="000000"/>
          <w:sz w:val="26"/>
          <w:szCs w:val="26"/>
        </w:rPr>
        <w:t xml:space="preserve">se </w:t>
      </w:r>
      <w:r w:rsidRPr="000C24DC">
        <w:rPr>
          <w:rFonts w:ascii="Arial" w:hAnsi="Arial" w:cs="Arial"/>
          <w:b/>
          <w:bCs/>
          <w:color w:val="000000"/>
          <w:sz w:val="26"/>
          <w:szCs w:val="26"/>
        </w:rPr>
        <w:t>REVOCA</w:t>
      </w:r>
      <w:r>
        <w:rPr>
          <w:rFonts w:ascii="Arial" w:hAnsi="Arial" w:cs="Arial"/>
          <w:bCs/>
          <w:color w:val="000000"/>
          <w:sz w:val="26"/>
          <w:szCs w:val="26"/>
        </w:rPr>
        <w:t xml:space="preserve"> la sentencia recurrida, y se dejan a salvo los derechos del recurrente para </w:t>
      </w:r>
      <w:r w:rsidRPr="00AE2191">
        <w:rPr>
          <w:rFonts w:ascii="Arial" w:hAnsi="Arial" w:cs="Arial"/>
          <w:bCs/>
          <w:color w:val="000000"/>
          <w:sz w:val="26"/>
          <w:szCs w:val="26"/>
        </w:rPr>
        <w:t>que los haga valer en la forma que estime pertinente</w:t>
      </w:r>
      <w:r w:rsidR="00F649E3">
        <w:rPr>
          <w:rFonts w:ascii="Arial" w:hAnsi="Arial" w:cs="Arial"/>
          <w:bCs/>
          <w:color w:val="000000"/>
          <w:sz w:val="26"/>
          <w:szCs w:val="26"/>
        </w:rPr>
        <w:t>.</w:t>
      </w:r>
    </w:p>
    <w:p w:rsidR="00F649E3" w:rsidRDefault="00FA36D7" w:rsidP="00F649E3">
      <w:pPr>
        <w:spacing w:after="120" w:line="360" w:lineRule="auto"/>
        <w:ind w:right="49" w:firstLine="567"/>
        <w:jc w:val="both"/>
        <w:rPr>
          <w:rFonts w:ascii="Arial" w:hAnsi="Arial" w:cs="Arial"/>
          <w:bCs/>
          <w:color w:val="000000"/>
          <w:sz w:val="26"/>
          <w:szCs w:val="26"/>
        </w:rPr>
      </w:pPr>
      <w:r>
        <w:rPr>
          <w:rFonts w:ascii="Arial" w:hAnsi="Arial" w:cs="Arial"/>
          <w:bCs/>
          <w:color w:val="000000"/>
          <w:sz w:val="26"/>
          <w:szCs w:val="26"/>
        </w:rPr>
        <w:t xml:space="preserve">  Por último, este Tribunal no se encuentra facultado para remitir </w:t>
      </w:r>
      <w:r w:rsidRPr="00C74DB4">
        <w:rPr>
          <w:rFonts w:ascii="Arial" w:hAnsi="Arial" w:cs="Arial"/>
          <w:bCs/>
          <w:color w:val="000000"/>
          <w:sz w:val="26"/>
          <w:szCs w:val="26"/>
        </w:rPr>
        <w:t xml:space="preserve">los autos a </w:t>
      </w:r>
      <w:r>
        <w:rPr>
          <w:rFonts w:ascii="Arial" w:hAnsi="Arial" w:cs="Arial"/>
          <w:bCs/>
          <w:color w:val="000000"/>
          <w:sz w:val="26"/>
          <w:szCs w:val="26"/>
        </w:rPr>
        <w:t xml:space="preserve">la autoridad a </w:t>
      </w:r>
      <w:r w:rsidRPr="00C74DB4">
        <w:rPr>
          <w:rFonts w:ascii="Arial" w:hAnsi="Arial" w:cs="Arial"/>
          <w:bCs/>
          <w:color w:val="000000"/>
          <w:sz w:val="26"/>
          <w:szCs w:val="26"/>
        </w:rPr>
        <w:t>quien se considere competente</w:t>
      </w:r>
      <w:r>
        <w:rPr>
          <w:rFonts w:ascii="Arial" w:hAnsi="Arial" w:cs="Arial"/>
          <w:bCs/>
          <w:color w:val="000000"/>
          <w:sz w:val="26"/>
          <w:szCs w:val="26"/>
        </w:rPr>
        <w:t xml:space="preserve">, ya que el hoy recurrente tuvo la carga procesal </w:t>
      </w:r>
      <w:r w:rsidRPr="00DA239B">
        <w:rPr>
          <w:rFonts w:ascii="Arial" w:hAnsi="Arial" w:cs="Arial"/>
          <w:bCs/>
          <w:color w:val="000000"/>
          <w:sz w:val="26"/>
          <w:szCs w:val="26"/>
        </w:rPr>
        <w:t xml:space="preserve">de presentar el recurso efectivo ante </w:t>
      </w:r>
      <w:r>
        <w:rPr>
          <w:rFonts w:ascii="Arial" w:hAnsi="Arial" w:cs="Arial"/>
          <w:bCs/>
          <w:color w:val="000000"/>
          <w:sz w:val="26"/>
          <w:szCs w:val="26"/>
        </w:rPr>
        <w:t>la autoridad</w:t>
      </w:r>
      <w:r w:rsidRPr="00DA239B">
        <w:rPr>
          <w:rFonts w:ascii="Arial" w:hAnsi="Arial" w:cs="Arial"/>
          <w:bCs/>
          <w:color w:val="000000"/>
          <w:sz w:val="26"/>
          <w:szCs w:val="26"/>
        </w:rPr>
        <w:t xml:space="preserve"> competente</w:t>
      </w:r>
      <w:r w:rsidR="00F649E3">
        <w:rPr>
          <w:rFonts w:ascii="Arial" w:hAnsi="Arial" w:cs="Arial"/>
          <w:bCs/>
          <w:color w:val="000000"/>
          <w:sz w:val="26"/>
          <w:szCs w:val="26"/>
        </w:rPr>
        <w:t>.</w:t>
      </w:r>
    </w:p>
    <w:p w:rsidR="00F649E3" w:rsidRPr="002B73A4" w:rsidRDefault="00FA36D7" w:rsidP="002B73A4">
      <w:pPr>
        <w:spacing w:after="120" w:line="360" w:lineRule="auto"/>
        <w:ind w:right="49" w:firstLine="567"/>
        <w:jc w:val="both"/>
        <w:rPr>
          <w:rFonts w:ascii="Arial" w:eastAsia="Calibri" w:hAnsi="Arial" w:cs="Arial"/>
          <w:bCs/>
          <w:sz w:val="26"/>
          <w:szCs w:val="26"/>
        </w:rPr>
      </w:pPr>
      <w:r>
        <w:rPr>
          <w:rFonts w:ascii="Arial" w:eastAsia="Calibri" w:hAnsi="Arial" w:cs="Arial"/>
          <w:bCs/>
          <w:sz w:val="26"/>
          <w:szCs w:val="26"/>
        </w:rPr>
        <w:t xml:space="preserve">Sirve de apoyo la Jurisprudencia  </w:t>
      </w:r>
      <w:r w:rsidRPr="00006E02">
        <w:rPr>
          <w:rFonts w:ascii="Arial" w:eastAsia="Calibri" w:hAnsi="Arial" w:cs="Arial"/>
          <w:bCs/>
          <w:sz w:val="26"/>
          <w:szCs w:val="26"/>
        </w:rPr>
        <w:t>PC.XVI.A. J/17 A (10a.)</w:t>
      </w:r>
      <w:r>
        <w:rPr>
          <w:rFonts w:ascii="Arial" w:eastAsia="Calibri" w:hAnsi="Arial" w:cs="Arial"/>
          <w:bCs/>
          <w:sz w:val="26"/>
          <w:szCs w:val="26"/>
        </w:rPr>
        <w:t xml:space="preserve">, de los Plenos de Circuito, </w:t>
      </w:r>
      <w:r w:rsidRPr="005E3CE1">
        <w:rPr>
          <w:rFonts w:ascii="Arial" w:hAnsi="Arial" w:cs="Arial"/>
          <w:sz w:val="26"/>
          <w:szCs w:val="26"/>
        </w:rPr>
        <w:t>pronunciada en la Décima Época, y publicada en la Gaceta del Semanario Judicial</w:t>
      </w:r>
      <w:r>
        <w:rPr>
          <w:rFonts w:ascii="Arial" w:hAnsi="Arial" w:cs="Arial"/>
          <w:sz w:val="26"/>
          <w:szCs w:val="26"/>
        </w:rPr>
        <w:t xml:space="preserve"> de la Federación, en el Libro 38 de Enero de 2017</w:t>
      </w:r>
      <w:r w:rsidRPr="005E3CE1">
        <w:rPr>
          <w:rFonts w:ascii="Arial" w:hAnsi="Arial" w:cs="Arial"/>
          <w:sz w:val="26"/>
          <w:szCs w:val="26"/>
        </w:rPr>
        <w:t xml:space="preserve">, bajo el tomo </w:t>
      </w:r>
      <w:r>
        <w:rPr>
          <w:rFonts w:ascii="Arial" w:hAnsi="Arial" w:cs="Arial"/>
          <w:sz w:val="26"/>
          <w:szCs w:val="26"/>
        </w:rPr>
        <w:t>I</w:t>
      </w:r>
      <w:r w:rsidRPr="005E3CE1">
        <w:rPr>
          <w:rFonts w:ascii="Arial" w:hAnsi="Arial" w:cs="Arial"/>
          <w:sz w:val="26"/>
          <w:szCs w:val="26"/>
        </w:rPr>
        <w:t xml:space="preserve">II, y consultable a página </w:t>
      </w:r>
      <w:r>
        <w:rPr>
          <w:rFonts w:ascii="Arial" w:hAnsi="Arial" w:cs="Arial"/>
          <w:sz w:val="26"/>
          <w:szCs w:val="26"/>
        </w:rPr>
        <w:t>2001</w:t>
      </w:r>
      <w:r w:rsidRPr="005E3CE1">
        <w:rPr>
          <w:rFonts w:ascii="Arial" w:hAnsi="Arial" w:cs="Arial"/>
          <w:sz w:val="26"/>
          <w:szCs w:val="26"/>
        </w:rPr>
        <w:t>, bajo el rubro y texto siguientes</w:t>
      </w:r>
      <w:r w:rsidR="00F649E3">
        <w:rPr>
          <w:rFonts w:ascii="Arial" w:eastAsia="Calibri" w:hAnsi="Arial" w:cs="Arial"/>
          <w:bCs/>
          <w:sz w:val="26"/>
          <w:szCs w:val="26"/>
        </w:rPr>
        <w:t>:</w:t>
      </w:r>
    </w:p>
    <w:p w:rsidR="00FA36D7" w:rsidRDefault="00FA36D7" w:rsidP="00A05B95">
      <w:pPr>
        <w:spacing w:after="120" w:line="360" w:lineRule="auto"/>
        <w:ind w:left="567" w:right="758"/>
        <w:jc w:val="both"/>
        <w:rPr>
          <w:rFonts w:ascii="Arial" w:eastAsia="Calibri" w:hAnsi="Arial" w:cs="Arial"/>
          <w:bCs/>
          <w:i/>
        </w:rPr>
      </w:pPr>
      <w:r w:rsidRPr="00006E02">
        <w:rPr>
          <w:rFonts w:ascii="Arial" w:eastAsia="Calibri" w:hAnsi="Arial" w:cs="Arial"/>
          <w:b/>
          <w:bCs/>
          <w:i/>
        </w:rPr>
        <w:t xml:space="preserve">“TRIBUNAL DE LO CONTENCIOSO ADMINISTRATIVO DEL ESTADO DE GUANAJUATO. AUNQUE DECLARE SU INCOMPETENCIA CONSTITUCIONAL EN RAZÓN DE LA VÍA Y DEL </w:t>
      </w:r>
      <w:r w:rsidRPr="00006E02">
        <w:rPr>
          <w:rFonts w:ascii="Arial" w:eastAsia="Calibri" w:hAnsi="Arial" w:cs="Arial"/>
          <w:b/>
          <w:bCs/>
          <w:i/>
        </w:rPr>
        <w:lastRenderedPageBreak/>
        <w:t xml:space="preserve">FUERO PARA CONOCER DE LA DEMANDA DE NULIDAD, CARECE DE FACULTADES PARA REMITIR LOS AUTOS RESPECTIVOS AL TRIBUNAL QUE ESTIME COMPETENTE. </w:t>
      </w:r>
      <w:r w:rsidRPr="00006E02">
        <w:rPr>
          <w:rFonts w:ascii="Arial" w:eastAsia="Calibri" w:hAnsi="Arial" w:cs="Arial"/>
          <w:bCs/>
          <w:i/>
        </w:rPr>
        <w:t>Aun cuando el Tribunal de lo Contencioso Administrativo del Estado de Guanajuato advierta que no tiene competencia constitucional en razón de la vía y del fuero para conocer de una demanda de nulidad, carece de facultades para remitir los autos respectivos al tribunal que considere competente, al no existir disposición expresa en el Código de Procedimiento y Justicia Administrativa para el Estado y los Municipios de Guanajuato ni en la Ley Orgánica del Tribunal de lo Contencioso Administrativo, ambas del Estado de Guanajuato, que así lo establezca, sin que sea aplicable al caso el artículo 164 del primer ordenamiento citado, al circunscribirse al procedimiento administrativo y no a la justicia administrativa; lo anterior no implica una transgresión al derecho de acceso a la justicia reconocido en el artículo 17 de la Constitución Política de los Estados Unidos Mexicanos, pues su ejercicio está sujeto al cumplimiento de determinados requisitos, presupuestos y cargas procesales que no deben soslayarse en detrimento de la correcta y eficiente Administración de Justicia, como lo es la carga procesal del gobernado de presentar el recurso efectivo ante el tribunal competente</w:t>
      </w:r>
      <w:r w:rsidR="00F649E3">
        <w:rPr>
          <w:rFonts w:ascii="Arial" w:eastAsia="Calibri" w:hAnsi="Arial" w:cs="Arial"/>
          <w:bCs/>
          <w:i/>
        </w:rPr>
        <w:t>”</w:t>
      </w:r>
      <w:r>
        <w:rPr>
          <w:rFonts w:ascii="Arial" w:eastAsia="Calibri" w:hAnsi="Arial" w:cs="Arial"/>
          <w:bCs/>
          <w:i/>
        </w:rPr>
        <w:t xml:space="preserve"> </w:t>
      </w:r>
    </w:p>
    <w:p w:rsidR="00E5281C" w:rsidRPr="00006E02" w:rsidRDefault="00E5281C" w:rsidP="00A05B95">
      <w:pPr>
        <w:spacing w:after="120" w:line="360" w:lineRule="auto"/>
        <w:ind w:left="567" w:right="758"/>
        <w:jc w:val="both"/>
        <w:rPr>
          <w:rFonts w:ascii="Arial" w:eastAsia="Calibri" w:hAnsi="Arial" w:cs="Arial"/>
          <w:bCs/>
          <w:i/>
        </w:rPr>
      </w:pPr>
    </w:p>
    <w:p w:rsidR="00F649E3" w:rsidRDefault="00FA36D7" w:rsidP="00F649E3">
      <w:pPr>
        <w:spacing w:after="120" w:line="360" w:lineRule="auto"/>
        <w:ind w:right="49" w:firstLine="567"/>
        <w:jc w:val="both"/>
        <w:rPr>
          <w:rFonts w:ascii="Arial" w:eastAsia="Calibri" w:hAnsi="Arial" w:cs="Arial"/>
          <w:sz w:val="26"/>
          <w:szCs w:val="26"/>
        </w:rPr>
      </w:pPr>
      <w:r w:rsidRPr="00D62375">
        <w:rPr>
          <w:rFonts w:ascii="Arial" w:eastAsia="Calibri" w:hAnsi="Arial" w:cs="Arial"/>
          <w:sz w:val="26"/>
          <w:szCs w:val="26"/>
        </w:rPr>
        <w:t>En mérito de lo anterior, con fundamento en los artículos 207 y 208 de la Ley de Justicia Administrativa para el Estado,</w:t>
      </w:r>
      <w:r w:rsidR="002B73A4">
        <w:rPr>
          <w:rFonts w:ascii="Arial" w:eastAsia="Calibri" w:hAnsi="Arial" w:cs="Arial"/>
          <w:sz w:val="26"/>
          <w:szCs w:val="26"/>
        </w:rPr>
        <w:t xml:space="preserve"> vigen</w:t>
      </w:r>
      <w:r w:rsidR="00E5281C">
        <w:rPr>
          <w:rFonts w:ascii="Arial" w:eastAsia="Calibri" w:hAnsi="Arial" w:cs="Arial"/>
          <w:sz w:val="26"/>
          <w:szCs w:val="26"/>
        </w:rPr>
        <w:t>te al inicio del juicio principal</w:t>
      </w:r>
      <w:r w:rsidR="002B73A4">
        <w:rPr>
          <w:rFonts w:ascii="Arial" w:eastAsia="Calibri" w:hAnsi="Arial" w:cs="Arial"/>
          <w:sz w:val="26"/>
          <w:szCs w:val="26"/>
        </w:rPr>
        <w:t>,</w:t>
      </w:r>
      <w:r w:rsidRPr="00D62375">
        <w:rPr>
          <w:rFonts w:ascii="Arial" w:eastAsia="Calibri" w:hAnsi="Arial" w:cs="Arial"/>
          <w:sz w:val="26"/>
          <w:szCs w:val="26"/>
        </w:rPr>
        <w:t xml:space="preserve"> se</w:t>
      </w:r>
      <w:r w:rsidR="00F649E3">
        <w:rPr>
          <w:rFonts w:ascii="Arial" w:eastAsia="Calibri" w:hAnsi="Arial" w:cs="Arial"/>
          <w:sz w:val="26"/>
          <w:szCs w:val="26"/>
        </w:rPr>
        <w:t>:</w:t>
      </w:r>
    </w:p>
    <w:p w:rsidR="00F649E3" w:rsidRDefault="00FA36D7" w:rsidP="00F649E3">
      <w:pPr>
        <w:spacing w:after="120" w:line="360" w:lineRule="auto"/>
        <w:ind w:right="49" w:firstLine="567"/>
        <w:jc w:val="center"/>
        <w:rPr>
          <w:rFonts w:ascii="Arial" w:hAnsi="Arial" w:cs="Arial"/>
          <w:b/>
          <w:sz w:val="24"/>
          <w:szCs w:val="24"/>
        </w:rPr>
      </w:pPr>
      <w:r w:rsidRPr="00CB6E8A">
        <w:rPr>
          <w:rFonts w:ascii="Arial" w:hAnsi="Arial" w:cs="Arial"/>
          <w:b/>
          <w:sz w:val="24"/>
          <w:szCs w:val="24"/>
        </w:rPr>
        <w:t>R E S U E L V E</w:t>
      </w:r>
    </w:p>
    <w:p w:rsidR="00F649E3" w:rsidRDefault="00FA36D7" w:rsidP="00F649E3">
      <w:pPr>
        <w:spacing w:after="120" w:line="360" w:lineRule="auto"/>
        <w:ind w:right="49" w:firstLine="567"/>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sidRPr="00C1232A">
        <w:rPr>
          <w:rFonts w:ascii="Arial" w:hAnsi="Arial" w:cs="Arial"/>
          <w:color w:val="000000"/>
          <w:sz w:val="26"/>
          <w:szCs w:val="26"/>
        </w:rPr>
        <w:t xml:space="preserve">Se </w:t>
      </w:r>
      <w:r>
        <w:rPr>
          <w:rFonts w:ascii="Arial" w:hAnsi="Arial" w:cs="Arial"/>
          <w:b/>
          <w:sz w:val="26"/>
          <w:szCs w:val="26"/>
        </w:rPr>
        <w:t>REVOCA</w:t>
      </w:r>
      <w:r>
        <w:rPr>
          <w:rFonts w:ascii="Arial" w:hAnsi="Arial" w:cs="Arial"/>
          <w:sz w:val="26"/>
          <w:szCs w:val="26"/>
        </w:rPr>
        <w:t xml:space="preserve"> la sentencia de </w:t>
      </w:r>
      <w:r w:rsidR="00A05B95">
        <w:rPr>
          <w:rFonts w:ascii="Arial" w:hAnsi="Arial" w:cs="Arial"/>
          <w:sz w:val="26"/>
          <w:szCs w:val="26"/>
        </w:rPr>
        <w:t xml:space="preserve">veintinueve de enero </w:t>
      </w:r>
      <w:r>
        <w:rPr>
          <w:rFonts w:ascii="Arial" w:hAnsi="Arial" w:cs="Arial"/>
          <w:sz w:val="26"/>
          <w:szCs w:val="26"/>
        </w:rPr>
        <w:t>de dos mil dieci</w:t>
      </w:r>
      <w:r w:rsidR="00A05B95">
        <w:rPr>
          <w:rFonts w:ascii="Arial" w:hAnsi="Arial" w:cs="Arial"/>
          <w:sz w:val="26"/>
          <w:szCs w:val="26"/>
        </w:rPr>
        <w:t>ocho</w:t>
      </w:r>
      <w:r w:rsidRPr="00C1232A">
        <w:rPr>
          <w:rFonts w:ascii="Arial" w:hAnsi="Arial" w:cs="Arial"/>
          <w:color w:val="000000"/>
          <w:sz w:val="26"/>
          <w:szCs w:val="26"/>
        </w:rPr>
        <w:t>, por las razones expuestas en el Considerando Tercero</w:t>
      </w:r>
      <w:r w:rsidR="00F649E3">
        <w:rPr>
          <w:rFonts w:ascii="Arial" w:hAnsi="Arial" w:cs="Arial"/>
          <w:color w:val="000000"/>
          <w:sz w:val="26"/>
          <w:szCs w:val="26"/>
        </w:rPr>
        <w:t>.</w:t>
      </w:r>
    </w:p>
    <w:p w:rsidR="00F649E3" w:rsidRDefault="00E51A0A" w:rsidP="00F649E3">
      <w:pPr>
        <w:spacing w:after="120" w:line="360" w:lineRule="auto"/>
        <w:ind w:right="49" w:firstLine="567"/>
        <w:jc w:val="both"/>
        <w:rPr>
          <w:rFonts w:ascii="Arial" w:hAnsi="Arial" w:cs="Arial"/>
          <w:sz w:val="26"/>
          <w:szCs w:val="26"/>
        </w:rPr>
      </w:pPr>
      <w:r w:rsidRPr="00857777">
        <w:rPr>
          <w:rFonts w:ascii="Arial" w:hAnsi="Arial" w:cs="Arial"/>
          <w:b/>
          <w:sz w:val="26"/>
          <w:szCs w:val="26"/>
        </w:rPr>
        <w:t>S</w:t>
      </w:r>
      <w:r w:rsidRPr="00DF1CFB">
        <w:rPr>
          <w:rFonts w:ascii="Arial" w:hAnsi="Arial" w:cs="Arial"/>
          <w:b/>
          <w:sz w:val="26"/>
          <w:szCs w:val="26"/>
        </w:rPr>
        <w:t>EGUNDO</w:t>
      </w:r>
      <w:r w:rsidRPr="00DF1CFB">
        <w:rPr>
          <w:rFonts w:ascii="Arial" w:hAnsi="Arial" w:cs="Arial"/>
          <w:sz w:val="26"/>
          <w:szCs w:val="26"/>
        </w:rPr>
        <w:t>.</w:t>
      </w:r>
      <w:r w:rsidRPr="00DF1CFB">
        <w:rPr>
          <w:rFonts w:ascii="Arial" w:hAnsi="Arial" w:cs="Arial"/>
          <w:b/>
          <w:sz w:val="26"/>
          <w:szCs w:val="26"/>
        </w:rPr>
        <w:t xml:space="preserve"> NOTIFÍQUESE y CÚMPLASE,</w:t>
      </w:r>
      <w:r w:rsidRPr="00DF1CFB">
        <w:rPr>
          <w:rFonts w:ascii="Arial" w:hAnsi="Arial" w:cs="Arial"/>
          <w:sz w:val="26"/>
          <w:szCs w:val="26"/>
        </w:rPr>
        <w:t xml:space="preserve"> con copia certificada de la presente resolución, vuelvan las constancias remitidas a la </w:t>
      </w:r>
      <w:r w:rsidR="00400A5F">
        <w:rPr>
          <w:rFonts w:ascii="Arial" w:hAnsi="Arial" w:cs="Arial"/>
          <w:sz w:val="26"/>
          <w:szCs w:val="26"/>
        </w:rPr>
        <w:t>Séptima</w:t>
      </w:r>
      <w:r w:rsidRPr="00DF1CFB">
        <w:rPr>
          <w:rFonts w:ascii="Arial" w:hAnsi="Arial" w:cs="Arial"/>
          <w:sz w:val="26"/>
          <w:szCs w:val="26"/>
        </w:rPr>
        <w:t xml:space="preserve"> Sala Unitaria de Primera Instancia, y en su oportunidad archívese el cuaderno de revisión como concluido</w:t>
      </w:r>
      <w:r w:rsidR="00F649E3">
        <w:rPr>
          <w:rFonts w:ascii="Arial" w:hAnsi="Arial" w:cs="Arial"/>
          <w:sz w:val="26"/>
          <w:szCs w:val="26"/>
        </w:rPr>
        <w:t>.</w:t>
      </w:r>
    </w:p>
    <w:p w:rsidR="00E5281C" w:rsidRPr="00D92955" w:rsidRDefault="00E5281C" w:rsidP="00E5281C">
      <w:pPr>
        <w:tabs>
          <w:tab w:val="left" w:pos="1985"/>
        </w:tabs>
        <w:spacing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5281C" w:rsidRPr="00D92955" w:rsidRDefault="00E5281C" w:rsidP="00E5281C">
      <w:pPr>
        <w:tabs>
          <w:tab w:val="left" w:pos="1985"/>
        </w:tabs>
        <w:spacing w:line="360" w:lineRule="auto"/>
        <w:ind w:firstLine="708"/>
        <w:jc w:val="both"/>
        <w:rPr>
          <w:rFonts w:ascii="Arial" w:eastAsia="Times New Roman" w:hAnsi="Arial" w:cs="Arial"/>
          <w:sz w:val="26"/>
          <w:szCs w:val="26"/>
          <w:lang w:eastAsia="es-MX"/>
        </w:rPr>
      </w:pPr>
    </w:p>
    <w:p w:rsidR="00E5281C" w:rsidRPr="00D92955" w:rsidRDefault="00E5281C" w:rsidP="00E5281C">
      <w:pPr>
        <w:tabs>
          <w:tab w:val="left" w:pos="1985"/>
        </w:tabs>
        <w:spacing w:line="360" w:lineRule="auto"/>
        <w:ind w:firstLine="708"/>
        <w:jc w:val="both"/>
        <w:rPr>
          <w:rFonts w:ascii="Arial" w:eastAsia="Times New Roman" w:hAnsi="Arial" w:cs="Arial"/>
          <w:sz w:val="26"/>
          <w:szCs w:val="26"/>
          <w:lang w:eastAsia="es-MX"/>
        </w:rPr>
      </w:pPr>
    </w:p>
    <w:p w:rsidR="00E5281C" w:rsidRDefault="00E5281C" w:rsidP="00E5281C">
      <w:pPr>
        <w:tabs>
          <w:tab w:val="left" w:pos="1985"/>
        </w:tabs>
        <w:spacing w:line="360" w:lineRule="auto"/>
        <w:jc w:val="both"/>
        <w:rPr>
          <w:rFonts w:ascii="Arial" w:eastAsia="Times New Roman" w:hAnsi="Arial" w:cs="Arial"/>
          <w:sz w:val="26"/>
          <w:szCs w:val="26"/>
          <w:lang w:eastAsia="es-MX"/>
        </w:rPr>
      </w:pPr>
    </w:p>
    <w:p w:rsidR="00E5281C" w:rsidRPr="00D92955" w:rsidRDefault="00E5281C" w:rsidP="00E5281C">
      <w:pPr>
        <w:tabs>
          <w:tab w:val="left" w:pos="1985"/>
        </w:tabs>
        <w:spacing w:line="360" w:lineRule="auto"/>
        <w:jc w:val="both"/>
        <w:rPr>
          <w:rFonts w:ascii="Arial" w:eastAsia="Times New Roman" w:hAnsi="Arial" w:cs="Arial"/>
          <w:sz w:val="26"/>
          <w:szCs w:val="26"/>
          <w:lang w:eastAsia="es-MX"/>
        </w:rPr>
      </w:pPr>
    </w:p>
    <w:p w:rsidR="00E5281C" w:rsidRPr="007433DD" w:rsidRDefault="00E5281C" w:rsidP="00E5281C">
      <w:pPr>
        <w:tabs>
          <w:tab w:val="left" w:pos="1985"/>
        </w:tabs>
        <w:spacing w:line="360" w:lineRule="auto"/>
        <w:ind w:firstLine="708"/>
        <w:jc w:val="both"/>
        <w:rPr>
          <w:rFonts w:ascii="Arial" w:hAnsi="Arial" w:cs="Arial"/>
          <w:bCs/>
          <w:sz w:val="26"/>
          <w:szCs w:val="26"/>
        </w:rPr>
      </w:pPr>
    </w:p>
    <w:p w:rsidR="00E5281C" w:rsidRPr="008E57C1" w:rsidRDefault="00E5281C" w:rsidP="00E5281C">
      <w:pPr>
        <w:jc w:val="center"/>
        <w:rPr>
          <w:rFonts w:ascii="Arial" w:hAnsi="Arial" w:cs="Arial"/>
          <w:sz w:val="26"/>
          <w:szCs w:val="26"/>
        </w:rPr>
      </w:pPr>
      <w:r w:rsidRPr="008E57C1">
        <w:rPr>
          <w:rFonts w:ascii="Arial" w:hAnsi="Arial" w:cs="Arial"/>
          <w:sz w:val="26"/>
          <w:szCs w:val="26"/>
        </w:rPr>
        <w:t>MAGISTRADO ADRIÁN QUIROGA AVENDAÑO.</w:t>
      </w:r>
    </w:p>
    <w:p w:rsidR="00E5281C" w:rsidRDefault="00E5281C" w:rsidP="00E5281C">
      <w:pPr>
        <w:jc w:val="center"/>
        <w:rPr>
          <w:rFonts w:ascii="Arial" w:hAnsi="Arial" w:cs="Arial"/>
          <w:sz w:val="26"/>
          <w:szCs w:val="26"/>
        </w:rPr>
      </w:pPr>
      <w:r w:rsidRPr="008E57C1">
        <w:rPr>
          <w:rFonts w:ascii="Arial" w:hAnsi="Arial" w:cs="Arial"/>
          <w:sz w:val="26"/>
          <w:szCs w:val="26"/>
        </w:rPr>
        <w:t>PRESIDENTE</w:t>
      </w:r>
    </w:p>
    <w:p w:rsidR="00E5281C" w:rsidRDefault="00E5281C" w:rsidP="00E5281C">
      <w:pPr>
        <w:spacing w:line="360" w:lineRule="auto"/>
        <w:jc w:val="center"/>
        <w:rPr>
          <w:rFonts w:ascii="Arial" w:hAnsi="Arial" w:cs="Arial"/>
          <w:b/>
          <w:sz w:val="14"/>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jc w:val="center"/>
        <w:rPr>
          <w:rFonts w:ascii="Arial" w:hAnsi="Arial" w:cs="Arial"/>
          <w:sz w:val="26"/>
          <w:szCs w:val="26"/>
        </w:rPr>
      </w:pPr>
    </w:p>
    <w:p w:rsidR="00E5281C" w:rsidRPr="00822249" w:rsidRDefault="00E5281C" w:rsidP="00E5281C">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jc w:val="center"/>
        <w:rPr>
          <w:rFonts w:ascii="Arial" w:hAnsi="Arial" w:cs="Arial"/>
          <w:sz w:val="26"/>
          <w:szCs w:val="26"/>
        </w:rPr>
      </w:pPr>
    </w:p>
    <w:p w:rsidR="00E5281C" w:rsidRDefault="00E5281C" w:rsidP="00E5281C">
      <w:pPr>
        <w:spacing w:line="360" w:lineRule="auto"/>
        <w:jc w:val="center"/>
        <w:rPr>
          <w:rFonts w:ascii="Arial" w:hAnsi="Arial" w:cs="Arial"/>
          <w:sz w:val="26"/>
          <w:szCs w:val="26"/>
        </w:rPr>
      </w:pPr>
    </w:p>
    <w:p w:rsidR="00E5281C" w:rsidRDefault="00E5281C" w:rsidP="00E5281C">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Default="00E5281C" w:rsidP="00E5281C">
      <w:pPr>
        <w:spacing w:line="360" w:lineRule="auto"/>
        <w:rPr>
          <w:rFonts w:ascii="Arial" w:hAnsi="Arial" w:cs="Arial"/>
          <w:sz w:val="26"/>
          <w:szCs w:val="26"/>
        </w:rPr>
      </w:pPr>
    </w:p>
    <w:p w:rsidR="00E5281C" w:rsidRPr="008E57C1" w:rsidRDefault="00E5281C" w:rsidP="00E5281C">
      <w:pPr>
        <w:spacing w:line="360" w:lineRule="auto"/>
        <w:rPr>
          <w:rFonts w:ascii="Arial" w:hAnsi="Arial" w:cs="Arial"/>
          <w:sz w:val="26"/>
          <w:szCs w:val="26"/>
        </w:rPr>
      </w:pPr>
    </w:p>
    <w:p w:rsidR="00E5281C" w:rsidRPr="008E57C1" w:rsidRDefault="00E5281C" w:rsidP="00E5281C">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E5281C" w:rsidRPr="00D92955" w:rsidRDefault="00E5281C" w:rsidP="00E5281C">
      <w:pPr>
        <w:jc w:val="center"/>
        <w:rPr>
          <w:rFonts w:ascii="Arial" w:eastAsia="Times New Roman" w:hAnsi="Arial" w:cs="Arial"/>
          <w:sz w:val="26"/>
          <w:szCs w:val="26"/>
          <w:lang w:eastAsia="es-MX"/>
        </w:rPr>
      </w:pPr>
    </w:p>
    <w:p w:rsidR="00E5281C" w:rsidRPr="00D92955" w:rsidRDefault="00E5281C" w:rsidP="00E5281C">
      <w:pPr>
        <w:rPr>
          <w:rFonts w:ascii="Arial" w:eastAsia="Times New Roman" w:hAnsi="Arial" w:cs="Arial"/>
          <w:sz w:val="26"/>
          <w:szCs w:val="26"/>
          <w:lang w:eastAsia="es-MX"/>
        </w:rPr>
      </w:pPr>
    </w:p>
    <w:p w:rsidR="00E5281C" w:rsidRDefault="00E5281C" w:rsidP="00E5281C">
      <w:pPr>
        <w:jc w:val="center"/>
        <w:rPr>
          <w:rFonts w:ascii="Arial" w:eastAsia="Times New Roman" w:hAnsi="Arial" w:cs="Arial"/>
          <w:sz w:val="26"/>
          <w:szCs w:val="26"/>
          <w:lang w:eastAsia="es-MX"/>
        </w:rPr>
      </w:pPr>
    </w:p>
    <w:p w:rsidR="00E5281C" w:rsidRDefault="00E5281C" w:rsidP="00E5281C">
      <w:pPr>
        <w:jc w:val="center"/>
        <w:rPr>
          <w:rFonts w:ascii="Arial" w:eastAsia="Times New Roman" w:hAnsi="Arial" w:cs="Arial"/>
          <w:sz w:val="26"/>
          <w:szCs w:val="26"/>
          <w:lang w:eastAsia="es-MX"/>
        </w:rPr>
      </w:pPr>
    </w:p>
    <w:p w:rsidR="00E5281C" w:rsidRDefault="00E5281C" w:rsidP="00E5281C">
      <w:pPr>
        <w:jc w:val="center"/>
        <w:rPr>
          <w:rFonts w:ascii="Arial" w:eastAsia="Times New Roman" w:hAnsi="Arial" w:cs="Arial"/>
          <w:sz w:val="26"/>
          <w:szCs w:val="26"/>
          <w:lang w:eastAsia="es-MX"/>
        </w:rPr>
      </w:pPr>
    </w:p>
    <w:p w:rsidR="00E5281C" w:rsidRPr="00D92955" w:rsidRDefault="00E5281C" w:rsidP="00E5281C">
      <w:pPr>
        <w:jc w:val="center"/>
        <w:rPr>
          <w:rFonts w:ascii="Arial" w:eastAsia="Times New Roman" w:hAnsi="Arial" w:cs="Arial"/>
          <w:sz w:val="26"/>
          <w:szCs w:val="26"/>
          <w:lang w:eastAsia="es-MX"/>
        </w:rPr>
      </w:pPr>
    </w:p>
    <w:p w:rsidR="00E5281C" w:rsidRPr="008E57C1" w:rsidRDefault="00E5281C" w:rsidP="00E5281C">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E5281C" w:rsidRPr="008E57C1" w:rsidRDefault="00E5281C" w:rsidP="00E5281C">
      <w:pPr>
        <w:rPr>
          <w:rFonts w:ascii="Arial" w:hAnsi="Arial" w:cs="Arial"/>
          <w:sz w:val="26"/>
          <w:szCs w:val="26"/>
        </w:rPr>
      </w:pPr>
    </w:p>
    <w:p w:rsidR="00E5281C" w:rsidRDefault="00E5281C" w:rsidP="00E5281C">
      <w:pPr>
        <w:rPr>
          <w:rFonts w:ascii="Arial" w:hAnsi="Arial" w:cs="Arial"/>
          <w:sz w:val="26"/>
          <w:szCs w:val="26"/>
        </w:rPr>
      </w:pPr>
    </w:p>
    <w:p w:rsidR="00E5281C" w:rsidRDefault="00E5281C" w:rsidP="00E5281C">
      <w:pPr>
        <w:rPr>
          <w:rFonts w:ascii="Arial" w:hAnsi="Arial" w:cs="Arial"/>
          <w:sz w:val="26"/>
          <w:szCs w:val="26"/>
        </w:rPr>
      </w:pPr>
    </w:p>
    <w:p w:rsidR="00E5281C" w:rsidRDefault="00E5281C" w:rsidP="00E5281C">
      <w:pPr>
        <w:jc w:val="center"/>
        <w:rPr>
          <w:rFonts w:ascii="Arial" w:hAnsi="Arial" w:cs="Arial"/>
          <w:sz w:val="26"/>
          <w:szCs w:val="26"/>
        </w:rPr>
      </w:pPr>
    </w:p>
    <w:p w:rsidR="00E5281C" w:rsidRDefault="00E5281C" w:rsidP="00E5281C">
      <w:pPr>
        <w:jc w:val="center"/>
        <w:rPr>
          <w:rFonts w:ascii="Arial" w:hAnsi="Arial" w:cs="Arial"/>
          <w:sz w:val="26"/>
          <w:szCs w:val="26"/>
        </w:rPr>
      </w:pPr>
    </w:p>
    <w:p w:rsidR="00E5281C" w:rsidRDefault="00E5281C" w:rsidP="00E5281C">
      <w:pPr>
        <w:jc w:val="center"/>
        <w:rPr>
          <w:rFonts w:ascii="Arial" w:hAnsi="Arial" w:cs="Arial"/>
          <w:sz w:val="26"/>
          <w:szCs w:val="26"/>
        </w:rPr>
      </w:pPr>
    </w:p>
    <w:p w:rsidR="00E5281C" w:rsidRPr="008E57C1" w:rsidRDefault="00E5281C" w:rsidP="00E5281C">
      <w:pPr>
        <w:jc w:val="center"/>
        <w:rPr>
          <w:rFonts w:ascii="Arial" w:hAnsi="Arial" w:cs="Arial"/>
          <w:sz w:val="26"/>
          <w:szCs w:val="26"/>
        </w:rPr>
      </w:pPr>
      <w:r w:rsidRPr="008E57C1">
        <w:rPr>
          <w:rFonts w:ascii="Arial" w:hAnsi="Arial" w:cs="Arial"/>
          <w:sz w:val="26"/>
          <w:szCs w:val="26"/>
        </w:rPr>
        <w:t>LICENCIADA SANDRA PÉREZ CRUZ.</w:t>
      </w:r>
    </w:p>
    <w:p w:rsidR="00E5281C" w:rsidRPr="007E7CF9" w:rsidRDefault="00E5281C" w:rsidP="00E5281C">
      <w:pPr>
        <w:jc w:val="center"/>
        <w:rPr>
          <w:rFonts w:ascii="Arial" w:hAnsi="Arial" w:cs="Arial"/>
          <w:sz w:val="26"/>
          <w:szCs w:val="26"/>
        </w:rPr>
      </w:pPr>
      <w:r w:rsidRPr="008E57C1">
        <w:rPr>
          <w:rFonts w:ascii="Arial" w:hAnsi="Arial" w:cs="Arial"/>
          <w:sz w:val="26"/>
          <w:szCs w:val="26"/>
        </w:rPr>
        <w:t>SECRETARIA GENERAL DE ACUERDOS.</w:t>
      </w:r>
    </w:p>
    <w:p w:rsidR="00E5281C" w:rsidRDefault="00E5281C" w:rsidP="00E5281C">
      <w:pPr>
        <w:spacing w:before="240" w:line="360" w:lineRule="auto"/>
        <w:jc w:val="both"/>
        <w:rPr>
          <w:sz w:val="26"/>
          <w:szCs w:val="26"/>
        </w:rPr>
      </w:pPr>
    </w:p>
    <w:p w:rsidR="0006140C" w:rsidRDefault="0006140C" w:rsidP="00E5281C">
      <w:pPr>
        <w:spacing w:after="120" w:line="360" w:lineRule="auto"/>
        <w:ind w:right="49" w:firstLine="567"/>
        <w:jc w:val="both"/>
      </w:pPr>
    </w:p>
    <w:sectPr w:rsidR="0006140C" w:rsidSect="00456858">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54" w:rsidRDefault="009F3154">
      <w:r>
        <w:separator/>
      </w:r>
    </w:p>
  </w:endnote>
  <w:endnote w:type="continuationSeparator" w:id="0">
    <w:p w:rsidR="009F3154" w:rsidRDefault="009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54" w:rsidRDefault="009F3154">
      <w:r>
        <w:separator/>
      </w:r>
    </w:p>
  </w:footnote>
  <w:footnote w:type="continuationSeparator" w:id="0">
    <w:p w:rsidR="009F3154" w:rsidRDefault="009F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32BE7" w:rsidRDefault="00337308">
        <w:pPr>
          <w:pStyle w:val="Encabezado"/>
          <w:jc w:val="center"/>
        </w:pPr>
        <w:r>
          <w:fldChar w:fldCharType="begin"/>
        </w:r>
        <w:r>
          <w:instrText>PAGE   \* MERGEFORMAT</w:instrText>
        </w:r>
        <w:r>
          <w:fldChar w:fldCharType="separate"/>
        </w:r>
        <w:r w:rsidR="00E629DF">
          <w:rPr>
            <w:noProof/>
          </w:rPr>
          <w:t>2</w:t>
        </w:r>
        <w:r>
          <w:fldChar w:fldCharType="end"/>
        </w:r>
      </w:p>
    </w:sdtContent>
  </w:sdt>
  <w:p w:rsidR="00032BE7" w:rsidRDefault="00571727">
    <w:pPr>
      <w:pStyle w:val="Encabezado"/>
    </w:pPr>
    <w:r>
      <w:rPr>
        <w:noProof/>
        <w:lang w:val="es-MX" w:eastAsia="es-MX"/>
      </w:rPr>
      <w:drawing>
        <wp:anchor distT="0" distB="0" distL="114300" distR="114300" simplePos="0" relativeHeight="251662336" behindDoc="0" locked="0" layoutInCell="1" allowOverlap="1" wp14:anchorId="023F06CB" wp14:editId="46F459F6">
          <wp:simplePos x="0" y="0"/>
          <wp:positionH relativeFrom="column">
            <wp:posOffset>5756910</wp:posOffset>
          </wp:positionH>
          <wp:positionV relativeFrom="paragraph">
            <wp:posOffset>3984625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032BE7" w:rsidRDefault="00337308" w:rsidP="007D05DF">
        <w:pPr>
          <w:pStyle w:val="Encabezado"/>
          <w:jc w:val="center"/>
          <w:rPr>
            <w:noProof/>
          </w:rPr>
        </w:pPr>
        <w:r>
          <w:fldChar w:fldCharType="begin"/>
        </w:r>
        <w:r>
          <w:instrText xml:space="preserve"> PAGE   \* MERGEFORMAT </w:instrText>
        </w:r>
        <w:r>
          <w:fldChar w:fldCharType="separate"/>
        </w:r>
        <w:r w:rsidR="00E629DF">
          <w:rPr>
            <w:noProof/>
          </w:rPr>
          <w:t>1</w:t>
        </w:r>
        <w:r>
          <w:rPr>
            <w:noProof/>
          </w:rPr>
          <w:fldChar w:fldCharType="end"/>
        </w:r>
      </w:p>
    </w:sdtContent>
  </w:sdt>
  <w:p w:rsidR="00032BE7" w:rsidRDefault="00571727" w:rsidP="007D05DF">
    <w:pPr>
      <w:pStyle w:val="Encabezado"/>
      <w:jc w:val="center"/>
    </w:pPr>
    <w:r>
      <w:rPr>
        <w:noProof/>
        <w:lang w:val="es-MX" w:eastAsia="es-MX"/>
      </w:rPr>
      <w:drawing>
        <wp:anchor distT="0" distB="0" distL="114300" distR="114300" simplePos="0" relativeHeight="251664384" behindDoc="0" locked="0" layoutInCell="1" allowOverlap="1" wp14:anchorId="7E984FB6" wp14:editId="3436EE88">
          <wp:simplePos x="0" y="0"/>
          <wp:positionH relativeFrom="column">
            <wp:posOffset>-1419225</wp:posOffset>
          </wp:positionH>
          <wp:positionV relativeFrom="paragraph">
            <wp:posOffset>4422775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E3"/>
    <w:multiLevelType w:val="hybridMultilevel"/>
    <w:tmpl w:val="5246AAD0"/>
    <w:lvl w:ilvl="0" w:tplc="61ECFD6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50"/>
    <w:rsid w:val="0006140C"/>
    <w:rsid w:val="000D3CD9"/>
    <w:rsid w:val="001B2349"/>
    <w:rsid w:val="001B5BD0"/>
    <w:rsid w:val="001E1ACE"/>
    <w:rsid w:val="001E3A50"/>
    <w:rsid w:val="00237790"/>
    <w:rsid w:val="00293FA9"/>
    <w:rsid w:val="002B539C"/>
    <w:rsid w:val="002B73A4"/>
    <w:rsid w:val="002D4DB1"/>
    <w:rsid w:val="00332333"/>
    <w:rsid w:val="00337308"/>
    <w:rsid w:val="00346C6C"/>
    <w:rsid w:val="00400A5F"/>
    <w:rsid w:val="00456858"/>
    <w:rsid w:val="00571727"/>
    <w:rsid w:val="005A7EBB"/>
    <w:rsid w:val="005C1179"/>
    <w:rsid w:val="005E1337"/>
    <w:rsid w:val="006042FD"/>
    <w:rsid w:val="00640218"/>
    <w:rsid w:val="00657DB4"/>
    <w:rsid w:val="0070068F"/>
    <w:rsid w:val="007423C0"/>
    <w:rsid w:val="007A6023"/>
    <w:rsid w:val="00857777"/>
    <w:rsid w:val="00860B3E"/>
    <w:rsid w:val="008761D2"/>
    <w:rsid w:val="009463F8"/>
    <w:rsid w:val="009774F8"/>
    <w:rsid w:val="009B61DC"/>
    <w:rsid w:val="009F3154"/>
    <w:rsid w:val="00A05B95"/>
    <w:rsid w:val="00A131CF"/>
    <w:rsid w:val="00A5767A"/>
    <w:rsid w:val="00A66096"/>
    <w:rsid w:val="00B15220"/>
    <w:rsid w:val="00B6416D"/>
    <w:rsid w:val="00B774EC"/>
    <w:rsid w:val="00BA68FB"/>
    <w:rsid w:val="00BE306C"/>
    <w:rsid w:val="00C04364"/>
    <w:rsid w:val="00C2118E"/>
    <w:rsid w:val="00C34B36"/>
    <w:rsid w:val="00C811E5"/>
    <w:rsid w:val="00C82297"/>
    <w:rsid w:val="00CA163F"/>
    <w:rsid w:val="00CA76A8"/>
    <w:rsid w:val="00CB5DD2"/>
    <w:rsid w:val="00D2099B"/>
    <w:rsid w:val="00D251EF"/>
    <w:rsid w:val="00D33DE3"/>
    <w:rsid w:val="00D67176"/>
    <w:rsid w:val="00DE4B94"/>
    <w:rsid w:val="00DE6E40"/>
    <w:rsid w:val="00DF1CFB"/>
    <w:rsid w:val="00DF5F54"/>
    <w:rsid w:val="00E4131A"/>
    <w:rsid w:val="00E51A0A"/>
    <w:rsid w:val="00E5281C"/>
    <w:rsid w:val="00E54453"/>
    <w:rsid w:val="00E629DF"/>
    <w:rsid w:val="00EE25E8"/>
    <w:rsid w:val="00F22C21"/>
    <w:rsid w:val="00F649E3"/>
    <w:rsid w:val="00F96A5C"/>
    <w:rsid w:val="00FA36D7"/>
    <w:rsid w:val="00FC7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5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3A50"/>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E3A50"/>
    <w:rPr>
      <w:rFonts w:ascii="Times New Roman" w:eastAsia="PMingLiU" w:hAnsi="Times New Roman" w:cs="Times New Roman"/>
      <w:sz w:val="24"/>
      <w:szCs w:val="24"/>
      <w:lang w:val="es-ES" w:eastAsia="zh-TW"/>
    </w:rPr>
  </w:style>
  <w:style w:type="paragraph" w:styleId="Sinespaciado">
    <w:name w:val="No Spacing"/>
    <w:uiPriority w:val="1"/>
    <w:qFormat/>
    <w:rsid w:val="001E3A50"/>
    <w:pPr>
      <w:spacing w:after="0" w:line="240" w:lineRule="auto"/>
    </w:pPr>
    <w:rPr>
      <w:lang w:val="es-ES"/>
    </w:rPr>
  </w:style>
  <w:style w:type="paragraph" w:styleId="Prrafodelista">
    <w:name w:val="List Paragraph"/>
    <w:basedOn w:val="Normal"/>
    <w:uiPriority w:val="34"/>
    <w:qFormat/>
    <w:rsid w:val="001E3A50"/>
    <w:pPr>
      <w:ind w:left="720"/>
      <w:contextualSpacing/>
    </w:pPr>
  </w:style>
  <w:style w:type="paragraph" w:styleId="Textonotapie">
    <w:name w:val="footnote text"/>
    <w:basedOn w:val="Normal"/>
    <w:link w:val="TextonotapieCar"/>
    <w:uiPriority w:val="99"/>
    <w:unhideWhenUsed/>
    <w:rsid w:val="00E51A0A"/>
    <w:rPr>
      <w:rFonts w:eastAsiaTheme="minorEastAsia"/>
      <w:sz w:val="20"/>
      <w:szCs w:val="20"/>
      <w:lang w:eastAsia="es-MX"/>
    </w:rPr>
  </w:style>
  <w:style w:type="character" w:customStyle="1" w:styleId="TextonotapieCar">
    <w:name w:val="Texto nota pie Car"/>
    <w:basedOn w:val="Fuentedeprrafopredeter"/>
    <w:link w:val="Textonotapie"/>
    <w:uiPriority w:val="99"/>
    <w:rsid w:val="00E51A0A"/>
    <w:rPr>
      <w:rFonts w:eastAsiaTheme="minorEastAsia"/>
      <w:sz w:val="20"/>
      <w:szCs w:val="20"/>
      <w:lang w:eastAsia="es-MX"/>
    </w:rPr>
  </w:style>
  <w:style w:type="character" w:styleId="Refdenotaalpie">
    <w:name w:val="footnote reference"/>
    <w:basedOn w:val="Fuentedeprrafopredeter"/>
    <w:uiPriority w:val="99"/>
    <w:semiHidden/>
    <w:unhideWhenUsed/>
    <w:rsid w:val="00E51A0A"/>
    <w:rPr>
      <w:vertAlign w:val="superscript"/>
    </w:rPr>
  </w:style>
  <w:style w:type="paragraph" w:styleId="Piedepgina">
    <w:name w:val="footer"/>
    <w:basedOn w:val="Normal"/>
    <w:link w:val="PiedepginaCar"/>
    <w:uiPriority w:val="99"/>
    <w:unhideWhenUsed/>
    <w:rsid w:val="00456858"/>
    <w:pPr>
      <w:tabs>
        <w:tab w:val="center" w:pos="4419"/>
        <w:tab w:val="right" w:pos="8838"/>
      </w:tabs>
    </w:pPr>
  </w:style>
  <w:style w:type="character" w:customStyle="1" w:styleId="PiedepginaCar">
    <w:name w:val="Pie de página Car"/>
    <w:basedOn w:val="Fuentedeprrafopredeter"/>
    <w:link w:val="Piedepgina"/>
    <w:uiPriority w:val="99"/>
    <w:rsid w:val="0045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50"/>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E3A50"/>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E3A50"/>
    <w:rPr>
      <w:rFonts w:ascii="Times New Roman" w:eastAsia="PMingLiU" w:hAnsi="Times New Roman" w:cs="Times New Roman"/>
      <w:sz w:val="24"/>
      <w:szCs w:val="24"/>
      <w:lang w:val="es-ES" w:eastAsia="zh-TW"/>
    </w:rPr>
  </w:style>
  <w:style w:type="paragraph" w:styleId="Sinespaciado">
    <w:name w:val="No Spacing"/>
    <w:uiPriority w:val="1"/>
    <w:qFormat/>
    <w:rsid w:val="001E3A50"/>
    <w:pPr>
      <w:spacing w:after="0" w:line="240" w:lineRule="auto"/>
    </w:pPr>
    <w:rPr>
      <w:lang w:val="es-ES"/>
    </w:rPr>
  </w:style>
  <w:style w:type="paragraph" w:styleId="Prrafodelista">
    <w:name w:val="List Paragraph"/>
    <w:basedOn w:val="Normal"/>
    <w:uiPriority w:val="34"/>
    <w:qFormat/>
    <w:rsid w:val="001E3A50"/>
    <w:pPr>
      <w:ind w:left="720"/>
      <w:contextualSpacing/>
    </w:pPr>
  </w:style>
  <w:style w:type="paragraph" w:styleId="Textonotapie">
    <w:name w:val="footnote text"/>
    <w:basedOn w:val="Normal"/>
    <w:link w:val="TextonotapieCar"/>
    <w:uiPriority w:val="99"/>
    <w:unhideWhenUsed/>
    <w:rsid w:val="00E51A0A"/>
    <w:rPr>
      <w:rFonts w:eastAsiaTheme="minorEastAsia"/>
      <w:sz w:val="20"/>
      <w:szCs w:val="20"/>
      <w:lang w:eastAsia="es-MX"/>
    </w:rPr>
  </w:style>
  <w:style w:type="character" w:customStyle="1" w:styleId="TextonotapieCar">
    <w:name w:val="Texto nota pie Car"/>
    <w:basedOn w:val="Fuentedeprrafopredeter"/>
    <w:link w:val="Textonotapie"/>
    <w:uiPriority w:val="99"/>
    <w:rsid w:val="00E51A0A"/>
    <w:rPr>
      <w:rFonts w:eastAsiaTheme="minorEastAsia"/>
      <w:sz w:val="20"/>
      <w:szCs w:val="20"/>
      <w:lang w:eastAsia="es-MX"/>
    </w:rPr>
  </w:style>
  <w:style w:type="character" w:styleId="Refdenotaalpie">
    <w:name w:val="footnote reference"/>
    <w:basedOn w:val="Fuentedeprrafopredeter"/>
    <w:uiPriority w:val="99"/>
    <w:semiHidden/>
    <w:unhideWhenUsed/>
    <w:rsid w:val="00E51A0A"/>
    <w:rPr>
      <w:vertAlign w:val="superscript"/>
    </w:rPr>
  </w:style>
  <w:style w:type="paragraph" w:styleId="Piedepgina">
    <w:name w:val="footer"/>
    <w:basedOn w:val="Normal"/>
    <w:link w:val="PiedepginaCar"/>
    <w:uiPriority w:val="99"/>
    <w:unhideWhenUsed/>
    <w:rsid w:val="00456858"/>
    <w:pPr>
      <w:tabs>
        <w:tab w:val="center" w:pos="4419"/>
        <w:tab w:val="right" w:pos="8838"/>
      </w:tabs>
    </w:pPr>
  </w:style>
  <w:style w:type="character" w:customStyle="1" w:styleId="PiedepginaCar">
    <w:name w:val="Pie de página Car"/>
    <w:basedOn w:val="Fuentedeprrafopredeter"/>
    <w:link w:val="Piedepgina"/>
    <w:uiPriority w:val="99"/>
    <w:rsid w:val="0045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EB0F-DE11-401A-AE55-7E5DD100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TCA-Admin</cp:lastModifiedBy>
  <cp:revision>47</cp:revision>
  <cp:lastPrinted>2019-01-28T19:02:00Z</cp:lastPrinted>
  <dcterms:created xsi:type="dcterms:W3CDTF">2006-06-02T17:29:00Z</dcterms:created>
  <dcterms:modified xsi:type="dcterms:W3CDTF">2019-01-28T19:02:00Z</dcterms:modified>
</cp:coreProperties>
</file>