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D4278C" w:rsidRPr="00AF3BF7" w:rsidTr="009574FD">
        <w:tc>
          <w:tcPr>
            <w:tcW w:w="2356" w:type="dxa"/>
          </w:tcPr>
          <w:p w:rsidR="00D4278C" w:rsidRPr="00AF3BF7" w:rsidRDefault="00D4278C" w:rsidP="009574FD">
            <w:pPr>
              <w:spacing w:after="0" w:line="240" w:lineRule="auto"/>
              <w:rPr>
                <w:rFonts w:ascii="Times New Roman" w:hAnsi="Times New Roman"/>
                <w:b/>
                <w:sz w:val="26"/>
                <w:szCs w:val="26"/>
              </w:rPr>
            </w:pPr>
            <w:bookmarkStart w:id="0" w:name="_GoBack"/>
            <w:bookmarkEnd w:id="0"/>
          </w:p>
        </w:tc>
        <w:tc>
          <w:tcPr>
            <w:tcW w:w="7426" w:type="dxa"/>
          </w:tcPr>
          <w:p w:rsidR="00D4278C" w:rsidRPr="007B59B6" w:rsidRDefault="00D4278C" w:rsidP="007257ED">
            <w:pPr>
              <w:tabs>
                <w:tab w:val="left" w:pos="3103"/>
              </w:tabs>
              <w:spacing w:after="0" w:line="240" w:lineRule="auto"/>
              <w:ind w:left="2961" w:hanging="2961"/>
              <w:jc w:val="both"/>
              <w:rPr>
                <w:rFonts w:ascii="Arial" w:hAnsi="Arial" w:cs="Arial"/>
                <w:b/>
                <w:i/>
                <w:iCs/>
                <w:caps/>
                <w:sz w:val="26"/>
                <w:szCs w:val="26"/>
              </w:rPr>
            </w:pPr>
            <w:r w:rsidRPr="007B59B6">
              <w:rPr>
                <w:rFonts w:ascii="Arial" w:hAnsi="Arial" w:cs="Arial"/>
                <w:b/>
                <w:i/>
                <w:iCs/>
                <w:caps/>
                <w:sz w:val="26"/>
                <w:szCs w:val="26"/>
              </w:rPr>
              <w:t xml:space="preserve">                       </w:t>
            </w:r>
          </w:p>
          <w:p w:rsidR="00D4278C" w:rsidRPr="007B59B6" w:rsidRDefault="00D4278C" w:rsidP="007257ED">
            <w:pPr>
              <w:tabs>
                <w:tab w:val="left" w:pos="3103"/>
              </w:tabs>
              <w:spacing w:after="0" w:line="240" w:lineRule="auto"/>
              <w:ind w:left="1119" w:hanging="1119"/>
              <w:jc w:val="both"/>
              <w:rPr>
                <w:rFonts w:ascii="Arial" w:hAnsi="Arial" w:cs="Arial"/>
                <w:b/>
                <w:iCs/>
                <w:caps/>
                <w:sz w:val="26"/>
                <w:szCs w:val="26"/>
              </w:rPr>
            </w:pPr>
            <w:r w:rsidRPr="007B59B6">
              <w:rPr>
                <w:rFonts w:ascii="Arial" w:hAnsi="Arial" w:cs="Arial"/>
                <w:b/>
                <w:i/>
                <w:iCs/>
                <w:caps/>
                <w:sz w:val="26"/>
                <w:szCs w:val="26"/>
              </w:rPr>
              <w:t xml:space="preserve">              </w:t>
            </w:r>
            <w:r w:rsidR="007B59B6">
              <w:rPr>
                <w:rFonts w:ascii="Arial" w:hAnsi="Arial" w:cs="Arial"/>
                <w:b/>
                <w:i/>
                <w:iCs/>
                <w:caps/>
                <w:sz w:val="26"/>
                <w:szCs w:val="26"/>
              </w:rPr>
              <w:t xml:space="preserve">  </w:t>
            </w:r>
            <w:r w:rsidRPr="007B59B6">
              <w:rPr>
                <w:rFonts w:ascii="Arial" w:hAnsi="Arial" w:cs="Arial"/>
                <w:b/>
                <w:i/>
                <w:iCs/>
                <w:caps/>
                <w:sz w:val="26"/>
                <w:szCs w:val="26"/>
              </w:rPr>
              <w:t xml:space="preserve"> </w:t>
            </w:r>
            <w:r w:rsidRPr="007B59B6">
              <w:rPr>
                <w:rFonts w:ascii="Arial" w:hAnsi="Arial" w:cs="Arial"/>
                <w:b/>
                <w:iCs/>
                <w:caps/>
                <w:sz w:val="26"/>
                <w:szCs w:val="26"/>
              </w:rPr>
              <w:t xml:space="preserve">SALA SUPERIOR DEL TRIBUNAL DE JUSTICIA </w:t>
            </w:r>
            <w:r w:rsidR="007B59B6">
              <w:rPr>
                <w:rFonts w:ascii="Arial" w:hAnsi="Arial" w:cs="Arial"/>
                <w:b/>
                <w:iCs/>
                <w:caps/>
                <w:sz w:val="26"/>
                <w:szCs w:val="26"/>
              </w:rPr>
              <w:t xml:space="preserve"> </w:t>
            </w:r>
            <w:r w:rsidRPr="007B59B6">
              <w:rPr>
                <w:rFonts w:ascii="Arial" w:hAnsi="Arial" w:cs="Arial"/>
                <w:b/>
                <w:iCs/>
                <w:caps/>
                <w:sz w:val="26"/>
                <w:szCs w:val="26"/>
              </w:rPr>
              <w:t>ADMINISTRATIVA DEL ESTADO DE OAXACA</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RECURSO DE REVISIÓN:   0122/2018</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EXPEDIENTE: 0125/2017 DE LA SEXTA sala</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UNITARIA de primera instancia </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ponente: magISTRADO MANUEL VELASCO  </w:t>
            </w:r>
          </w:p>
          <w:p w:rsidR="00D4278C" w:rsidRPr="007B59B6" w:rsidRDefault="00D4278C" w:rsidP="007257ED">
            <w:pPr>
              <w:pStyle w:val="Encabezado"/>
              <w:tabs>
                <w:tab w:val="clear" w:pos="4252"/>
              </w:tabs>
              <w:ind w:right="51"/>
              <w:jc w:val="both"/>
              <w:rPr>
                <w:rFonts w:ascii="Arial" w:hAnsi="Arial" w:cs="Arial"/>
                <w:b/>
                <w:iCs/>
                <w:caps/>
                <w:sz w:val="26"/>
                <w:szCs w:val="26"/>
              </w:rPr>
            </w:pPr>
            <w:r w:rsidRPr="007B59B6">
              <w:rPr>
                <w:rFonts w:ascii="Arial" w:hAnsi="Arial" w:cs="Arial"/>
                <w:b/>
                <w:iCs/>
                <w:caps/>
                <w:sz w:val="26"/>
                <w:szCs w:val="26"/>
              </w:rPr>
              <w:t xml:space="preserve">                 ALCÁNTARA.</w:t>
            </w:r>
          </w:p>
        </w:tc>
      </w:tr>
      <w:tr w:rsidR="00D4278C" w:rsidRPr="00AF3BF7" w:rsidTr="009574FD">
        <w:tc>
          <w:tcPr>
            <w:tcW w:w="2356" w:type="dxa"/>
          </w:tcPr>
          <w:p w:rsidR="00D4278C" w:rsidRPr="00AF3BF7" w:rsidRDefault="00D4278C" w:rsidP="009574FD">
            <w:pPr>
              <w:spacing w:after="0" w:line="240" w:lineRule="auto"/>
              <w:rPr>
                <w:rFonts w:ascii="Times New Roman" w:hAnsi="Times New Roman"/>
                <w:b/>
                <w:sz w:val="26"/>
                <w:szCs w:val="26"/>
              </w:rPr>
            </w:pPr>
          </w:p>
        </w:tc>
        <w:tc>
          <w:tcPr>
            <w:tcW w:w="7426" w:type="dxa"/>
          </w:tcPr>
          <w:p w:rsidR="00D4278C" w:rsidRPr="007B59B6" w:rsidRDefault="00D4278C" w:rsidP="007257ED">
            <w:pPr>
              <w:tabs>
                <w:tab w:val="left" w:pos="3103"/>
              </w:tabs>
              <w:spacing w:after="0" w:line="240" w:lineRule="auto"/>
              <w:ind w:left="2961" w:hanging="2961"/>
              <w:jc w:val="both"/>
              <w:rPr>
                <w:rFonts w:ascii="Arial" w:hAnsi="Arial" w:cs="Arial"/>
                <w:b/>
                <w:iCs/>
                <w:caps/>
                <w:sz w:val="26"/>
                <w:szCs w:val="26"/>
              </w:rPr>
            </w:pPr>
            <w:r w:rsidRPr="007B59B6">
              <w:rPr>
                <w:rFonts w:ascii="Arial" w:hAnsi="Arial" w:cs="Arial"/>
                <w:b/>
                <w:i/>
                <w:iCs/>
                <w:caps/>
                <w:sz w:val="26"/>
                <w:szCs w:val="26"/>
              </w:rPr>
              <w:t xml:space="preserve">                                   </w:t>
            </w:r>
          </w:p>
        </w:tc>
      </w:tr>
      <w:tr w:rsidR="006821AE" w:rsidRPr="00AF3BF7" w:rsidTr="009574FD">
        <w:tc>
          <w:tcPr>
            <w:tcW w:w="2356" w:type="dxa"/>
          </w:tcPr>
          <w:p w:rsidR="006821AE" w:rsidRPr="00AF3BF7" w:rsidRDefault="006821AE" w:rsidP="009574FD">
            <w:pPr>
              <w:spacing w:after="0" w:line="240" w:lineRule="auto"/>
              <w:rPr>
                <w:rFonts w:ascii="Times New Roman" w:hAnsi="Times New Roman"/>
                <w:b/>
                <w:sz w:val="26"/>
                <w:szCs w:val="26"/>
              </w:rPr>
            </w:pPr>
          </w:p>
        </w:tc>
        <w:tc>
          <w:tcPr>
            <w:tcW w:w="7426" w:type="dxa"/>
          </w:tcPr>
          <w:p w:rsidR="006821AE" w:rsidRPr="00AF3BF7" w:rsidRDefault="006821AE" w:rsidP="009574FD">
            <w:pPr>
              <w:tabs>
                <w:tab w:val="left" w:pos="3103"/>
              </w:tabs>
              <w:spacing w:after="0" w:line="240" w:lineRule="auto"/>
              <w:ind w:left="2961" w:hanging="2961"/>
              <w:jc w:val="both"/>
              <w:rPr>
                <w:rFonts w:ascii="Times New Roman" w:hAnsi="Times New Roman"/>
                <w:b/>
                <w:i/>
                <w:iCs/>
                <w:caps/>
                <w:sz w:val="26"/>
                <w:szCs w:val="26"/>
              </w:rPr>
            </w:pPr>
          </w:p>
        </w:tc>
      </w:tr>
    </w:tbl>
    <w:p w:rsidR="008552C6" w:rsidRDefault="006821AE" w:rsidP="006821AE">
      <w:pPr>
        <w:spacing w:line="360" w:lineRule="auto"/>
        <w:jc w:val="both"/>
        <w:rPr>
          <w:rFonts w:ascii="Arial" w:hAnsi="Arial" w:cs="Arial"/>
          <w:b/>
          <w:sz w:val="26"/>
          <w:szCs w:val="26"/>
          <w:lang w:val="es-MX"/>
        </w:rPr>
      </w:pPr>
      <w:r w:rsidRPr="00EC376C">
        <w:rPr>
          <w:rFonts w:ascii="Arial" w:hAnsi="Arial" w:cs="Arial"/>
          <w:b/>
          <w:sz w:val="26"/>
          <w:szCs w:val="26"/>
          <w:lang w:val="es-MX"/>
        </w:rPr>
        <w:t>OAXACA DE JUÁREZ, OAXACA</w:t>
      </w:r>
      <w:r w:rsidR="007B59B6">
        <w:rPr>
          <w:rFonts w:ascii="Arial" w:hAnsi="Arial" w:cs="Arial"/>
          <w:b/>
          <w:sz w:val="26"/>
          <w:szCs w:val="26"/>
          <w:lang w:val="es-MX"/>
        </w:rPr>
        <w:t xml:space="preserve">, </w:t>
      </w:r>
      <w:r w:rsidR="008B60F8">
        <w:rPr>
          <w:rFonts w:ascii="Arial" w:hAnsi="Arial" w:cs="Arial"/>
          <w:b/>
          <w:sz w:val="26"/>
          <w:szCs w:val="26"/>
          <w:lang w:val="es-MX"/>
        </w:rPr>
        <w:t>CINCO</w:t>
      </w:r>
      <w:r w:rsidR="00976EAD">
        <w:rPr>
          <w:rFonts w:ascii="Arial" w:hAnsi="Arial" w:cs="Arial"/>
          <w:b/>
          <w:sz w:val="26"/>
          <w:szCs w:val="26"/>
          <w:lang w:val="es-MX"/>
        </w:rPr>
        <w:t xml:space="preserve"> </w:t>
      </w:r>
      <w:r>
        <w:rPr>
          <w:rFonts w:ascii="Arial" w:hAnsi="Arial" w:cs="Arial"/>
          <w:b/>
          <w:sz w:val="26"/>
          <w:szCs w:val="26"/>
          <w:lang w:val="es-MX"/>
        </w:rPr>
        <w:t xml:space="preserve">DE </w:t>
      </w:r>
      <w:r w:rsidR="00D4278C">
        <w:rPr>
          <w:rFonts w:ascii="Arial" w:hAnsi="Arial" w:cs="Arial"/>
          <w:b/>
          <w:sz w:val="26"/>
          <w:szCs w:val="26"/>
          <w:lang w:val="es-MX"/>
        </w:rPr>
        <w:t>SEPTIEM</w:t>
      </w:r>
      <w:r w:rsidR="00BE1C3F">
        <w:rPr>
          <w:rFonts w:ascii="Arial" w:hAnsi="Arial" w:cs="Arial"/>
          <w:b/>
          <w:sz w:val="26"/>
          <w:szCs w:val="26"/>
          <w:lang w:val="es-MX"/>
        </w:rPr>
        <w:t>BRE</w:t>
      </w:r>
      <w:r w:rsidR="00FE10F7">
        <w:rPr>
          <w:rFonts w:ascii="Arial" w:hAnsi="Arial" w:cs="Arial"/>
          <w:b/>
          <w:sz w:val="26"/>
          <w:szCs w:val="26"/>
          <w:lang w:val="es-MX"/>
        </w:rPr>
        <w:t xml:space="preserve"> </w:t>
      </w:r>
      <w:r w:rsidRPr="00EC376C">
        <w:rPr>
          <w:rFonts w:ascii="Arial" w:hAnsi="Arial" w:cs="Arial"/>
          <w:b/>
          <w:sz w:val="26"/>
          <w:szCs w:val="26"/>
          <w:lang w:val="es-MX"/>
        </w:rPr>
        <w:t xml:space="preserve">DE DOS MIL </w:t>
      </w:r>
      <w:r w:rsidR="00D4278C">
        <w:rPr>
          <w:rFonts w:ascii="Arial" w:hAnsi="Arial" w:cs="Arial"/>
          <w:b/>
          <w:sz w:val="26"/>
          <w:szCs w:val="26"/>
          <w:lang w:val="es-MX"/>
        </w:rPr>
        <w:t>DIECIOCHO</w:t>
      </w:r>
      <w:r w:rsidRPr="00EC376C">
        <w:rPr>
          <w:rFonts w:ascii="Arial" w:hAnsi="Arial" w:cs="Arial"/>
          <w:b/>
          <w:sz w:val="26"/>
          <w:szCs w:val="26"/>
          <w:lang w:val="es-MX"/>
        </w:rPr>
        <w:t>.</w:t>
      </w:r>
    </w:p>
    <w:p w:rsidR="005F19BA" w:rsidRPr="00971CB5" w:rsidRDefault="00D4278C" w:rsidP="005F19BA">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sidR="00CA1AB2">
        <w:rPr>
          <w:rFonts w:ascii="Arial" w:hAnsi="Arial" w:cs="Arial"/>
          <w:b/>
          <w:sz w:val="26"/>
          <w:szCs w:val="26"/>
        </w:rPr>
        <w:t>1</w:t>
      </w:r>
      <w:r>
        <w:rPr>
          <w:rFonts w:ascii="Arial" w:hAnsi="Arial" w:cs="Arial"/>
          <w:b/>
          <w:sz w:val="26"/>
          <w:szCs w:val="26"/>
        </w:rPr>
        <w:t>22/</w:t>
      </w:r>
      <w:r w:rsidRPr="008C1633">
        <w:rPr>
          <w:rFonts w:ascii="Arial" w:hAnsi="Arial" w:cs="Arial"/>
          <w:b/>
          <w:sz w:val="26"/>
          <w:szCs w:val="26"/>
        </w:rPr>
        <w:t>201</w:t>
      </w:r>
      <w:r w:rsidR="00CA1AB2">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sidR="004F3C7D">
        <w:rPr>
          <w:rFonts w:ascii="Arial" w:hAnsi="Arial" w:cs="Arial"/>
          <w:sz w:val="26"/>
          <w:szCs w:val="26"/>
          <w:lang w:val="es-MX"/>
        </w:rPr>
        <w:t xml:space="preserve"> </w:t>
      </w:r>
      <w:r w:rsidR="00675686">
        <w:rPr>
          <w:rFonts w:ascii="Arial" w:hAnsi="Arial" w:cs="Arial"/>
          <w:b/>
          <w:sz w:val="26"/>
          <w:szCs w:val="26"/>
          <w:lang w:val="es-MX"/>
        </w:rPr>
        <w:t>**********</w:t>
      </w:r>
      <w:r w:rsidR="00CA1AB2">
        <w:rPr>
          <w:rFonts w:ascii="Arial" w:hAnsi="Arial" w:cs="Arial"/>
          <w:b/>
          <w:sz w:val="26"/>
          <w:szCs w:val="26"/>
          <w:lang w:val="es-MX"/>
        </w:rPr>
        <w:t>, parte actora en el juicio</w:t>
      </w:r>
      <w:r w:rsidR="002071B3">
        <w:rPr>
          <w:rFonts w:ascii="Arial" w:hAnsi="Arial" w:cs="Arial"/>
          <w:b/>
          <w:sz w:val="26"/>
          <w:szCs w:val="26"/>
          <w:lang w:val="es-MX"/>
        </w:rPr>
        <w:t xml:space="preserve">, </w:t>
      </w:r>
      <w:r w:rsidR="002071B3" w:rsidRPr="0070243B">
        <w:rPr>
          <w:rFonts w:ascii="Arial" w:hAnsi="Arial" w:cs="Arial"/>
          <w:sz w:val="26"/>
          <w:szCs w:val="26"/>
          <w:lang w:val="es-MX"/>
        </w:rPr>
        <w:t>en c</w:t>
      </w:r>
      <w:r w:rsidR="002071B3" w:rsidRPr="00F403FE">
        <w:rPr>
          <w:rFonts w:ascii="Arial" w:hAnsi="Arial" w:cs="Arial"/>
          <w:sz w:val="26"/>
          <w:szCs w:val="26"/>
          <w:lang w:val="es-MX"/>
        </w:rPr>
        <w:t>ontra de</w:t>
      </w:r>
      <w:r w:rsidR="002071B3">
        <w:rPr>
          <w:rFonts w:ascii="Arial" w:hAnsi="Arial" w:cs="Arial"/>
          <w:sz w:val="26"/>
          <w:szCs w:val="26"/>
          <w:lang w:val="es-MX"/>
        </w:rPr>
        <w:t xml:space="preserve"> a</w:t>
      </w:r>
      <w:r>
        <w:rPr>
          <w:rFonts w:ascii="Arial" w:hAnsi="Arial" w:cs="Arial"/>
          <w:sz w:val="26"/>
          <w:szCs w:val="26"/>
          <w:lang w:val="es-MX"/>
        </w:rPr>
        <w:t>cuerdo</w:t>
      </w:r>
      <w:r w:rsidR="00CA1AB2">
        <w:rPr>
          <w:rFonts w:ascii="Arial" w:hAnsi="Arial" w:cs="Arial"/>
          <w:sz w:val="26"/>
          <w:szCs w:val="26"/>
          <w:lang w:val="es-MX"/>
        </w:rPr>
        <w:t xml:space="preserve"> de 16</w:t>
      </w:r>
      <w:r w:rsidR="002071B3">
        <w:rPr>
          <w:rFonts w:ascii="Arial" w:hAnsi="Arial" w:cs="Arial"/>
          <w:sz w:val="26"/>
          <w:szCs w:val="26"/>
          <w:lang w:val="es-MX"/>
        </w:rPr>
        <w:t xml:space="preserve"> d</w:t>
      </w:r>
      <w:r w:rsidR="00CA1AB2">
        <w:rPr>
          <w:rFonts w:ascii="Arial" w:hAnsi="Arial" w:cs="Arial"/>
          <w:sz w:val="26"/>
          <w:szCs w:val="26"/>
          <w:lang w:val="es-MX"/>
        </w:rPr>
        <w:t>ieciséis</w:t>
      </w:r>
      <w:r w:rsidR="002071B3">
        <w:rPr>
          <w:rFonts w:ascii="Arial" w:hAnsi="Arial" w:cs="Arial"/>
          <w:sz w:val="26"/>
          <w:szCs w:val="26"/>
          <w:lang w:val="es-MX"/>
        </w:rPr>
        <w:t xml:space="preserve"> de </w:t>
      </w:r>
      <w:r w:rsidR="00CA1AB2">
        <w:rPr>
          <w:rFonts w:ascii="Arial" w:hAnsi="Arial" w:cs="Arial"/>
          <w:sz w:val="26"/>
          <w:szCs w:val="26"/>
          <w:lang w:val="es-MX"/>
        </w:rPr>
        <w:t>enero</w:t>
      </w:r>
      <w:r w:rsidR="002071B3">
        <w:rPr>
          <w:rFonts w:ascii="Arial" w:hAnsi="Arial" w:cs="Arial"/>
          <w:sz w:val="26"/>
          <w:szCs w:val="26"/>
          <w:lang w:val="es-MX"/>
        </w:rPr>
        <w:t xml:space="preserve">  de </w:t>
      </w:r>
      <w:r w:rsidR="002071B3" w:rsidRPr="00F403FE">
        <w:rPr>
          <w:rFonts w:ascii="Arial" w:hAnsi="Arial" w:cs="Arial"/>
          <w:sz w:val="26"/>
          <w:szCs w:val="26"/>
          <w:lang w:val="es-MX"/>
        </w:rPr>
        <w:t>20</w:t>
      </w:r>
      <w:r w:rsidR="002071B3">
        <w:rPr>
          <w:rFonts w:ascii="Arial" w:hAnsi="Arial" w:cs="Arial"/>
          <w:sz w:val="26"/>
          <w:szCs w:val="26"/>
          <w:lang w:val="es-MX"/>
        </w:rPr>
        <w:t>1</w:t>
      </w:r>
      <w:r w:rsidR="00CA1AB2">
        <w:rPr>
          <w:rFonts w:ascii="Arial" w:hAnsi="Arial" w:cs="Arial"/>
          <w:sz w:val="26"/>
          <w:szCs w:val="26"/>
          <w:lang w:val="es-MX"/>
        </w:rPr>
        <w:t>8</w:t>
      </w:r>
      <w:r w:rsidR="002071B3" w:rsidRPr="00F403FE">
        <w:rPr>
          <w:rFonts w:ascii="Arial" w:hAnsi="Arial" w:cs="Arial"/>
          <w:sz w:val="26"/>
          <w:szCs w:val="26"/>
          <w:lang w:val="es-MX"/>
        </w:rPr>
        <w:t xml:space="preserve"> dos mil </w:t>
      </w:r>
      <w:r w:rsidR="00CA1AB2">
        <w:rPr>
          <w:rFonts w:ascii="Arial" w:hAnsi="Arial" w:cs="Arial"/>
          <w:sz w:val="26"/>
          <w:szCs w:val="26"/>
          <w:lang w:val="es-MX"/>
        </w:rPr>
        <w:t>dieciocho</w:t>
      </w:r>
      <w:r w:rsidR="002071B3">
        <w:rPr>
          <w:rFonts w:ascii="Arial" w:hAnsi="Arial" w:cs="Arial"/>
          <w:sz w:val="26"/>
          <w:szCs w:val="26"/>
          <w:lang w:val="es-MX"/>
        </w:rPr>
        <w:t>, dictad</w:t>
      </w:r>
      <w:r>
        <w:rPr>
          <w:rFonts w:ascii="Arial" w:hAnsi="Arial" w:cs="Arial"/>
          <w:sz w:val="26"/>
          <w:szCs w:val="26"/>
          <w:lang w:val="es-MX"/>
        </w:rPr>
        <w:t>o</w:t>
      </w:r>
      <w:r w:rsidR="002071B3" w:rsidRPr="00F403FE">
        <w:rPr>
          <w:rFonts w:ascii="Arial" w:hAnsi="Arial" w:cs="Arial"/>
          <w:sz w:val="26"/>
          <w:szCs w:val="26"/>
          <w:lang w:val="es-MX"/>
        </w:rPr>
        <w:t xml:space="preserve"> en el expediente </w:t>
      </w:r>
      <w:r w:rsidR="002071B3">
        <w:rPr>
          <w:rFonts w:ascii="Arial" w:hAnsi="Arial" w:cs="Arial"/>
          <w:b/>
          <w:sz w:val="26"/>
          <w:szCs w:val="26"/>
          <w:lang w:val="es-MX"/>
        </w:rPr>
        <w:t>012</w:t>
      </w:r>
      <w:r w:rsidR="00CA1AB2">
        <w:rPr>
          <w:rFonts w:ascii="Arial" w:hAnsi="Arial" w:cs="Arial"/>
          <w:b/>
          <w:sz w:val="26"/>
          <w:szCs w:val="26"/>
          <w:lang w:val="es-MX"/>
        </w:rPr>
        <w:t>5</w:t>
      </w:r>
      <w:r w:rsidR="002071B3" w:rsidRPr="00F403FE">
        <w:rPr>
          <w:rFonts w:ascii="Arial" w:hAnsi="Arial" w:cs="Arial"/>
          <w:b/>
          <w:sz w:val="26"/>
          <w:szCs w:val="26"/>
          <w:lang w:val="es-MX"/>
        </w:rPr>
        <w:t>/20</w:t>
      </w:r>
      <w:r w:rsidR="002071B3">
        <w:rPr>
          <w:rFonts w:ascii="Arial" w:hAnsi="Arial" w:cs="Arial"/>
          <w:b/>
          <w:sz w:val="26"/>
          <w:szCs w:val="26"/>
          <w:lang w:val="es-MX"/>
        </w:rPr>
        <w:t>1</w:t>
      </w:r>
      <w:r w:rsidR="00CA1AB2">
        <w:rPr>
          <w:rFonts w:ascii="Arial" w:hAnsi="Arial" w:cs="Arial"/>
          <w:b/>
          <w:sz w:val="26"/>
          <w:szCs w:val="26"/>
          <w:lang w:val="es-MX"/>
        </w:rPr>
        <w:t>7</w:t>
      </w:r>
      <w:r w:rsidR="002071B3">
        <w:rPr>
          <w:rFonts w:ascii="Arial" w:hAnsi="Arial" w:cs="Arial"/>
          <w:b/>
          <w:sz w:val="26"/>
          <w:szCs w:val="26"/>
          <w:lang w:val="es-MX"/>
        </w:rPr>
        <w:t>,</w:t>
      </w:r>
      <w:r w:rsidR="002071B3" w:rsidRPr="00F403FE">
        <w:rPr>
          <w:rFonts w:ascii="Arial" w:hAnsi="Arial" w:cs="Arial"/>
          <w:sz w:val="26"/>
          <w:szCs w:val="26"/>
          <w:lang w:val="es-MX"/>
        </w:rPr>
        <w:t xml:space="preserve"> del índice de la </w:t>
      </w:r>
      <w:r w:rsidR="002071B3">
        <w:rPr>
          <w:rFonts w:ascii="Arial" w:hAnsi="Arial" w:cs="Arial"/>
          <w:sz w:val="26"/>
          <w:szCs w:val="26"/>
          <w:lang w:val="es-MX"/>
        </w:rPr>
        <w:t>Se</w:t>
      </w:r>
      <w:r>
        <w:rPr>
          <w:rFonts w:ascii="Arial" w:hAnsi="Arial" w:cs="Arial"/>
          <w:sz w:val="26"/>
          <w:szCs w:val="26"/>
          <w:lang w:val="es-MX"/>
        </w:rPr>
        <w:t>xta</w:t>
      </w:r>
      <w:r w:rsidR="002071B3">
        <w:rPr>
          <w:rFonts w:ascii="Arial" w:hAnsi="Arial" w:cs="Arial"/>
          <w:sz w:val="26"/>
          <w:szCs w:val="26"/>
          <w:lang w:val="es-MX"/>
        </w:rPr>
        <w:t xml:space="preserve"> Sala </w:t>
      </w:r>
      <w:r>
        <w:rPr>
          <w:rFonts w:ascii="Arial" w:hAnsi="Arial" w:cs="Arial"/>
          <w:sz w:val="26"/>
          <w:szCs w:val="26"/>
          <w:lang w:val="es-MX"/>
        </w:rPr>
        <w:t xml:space="preserve">Unitaria </w:t>
      </w:r>
      <w:r w:rsidR="002071B3">
        <w:rPr>
          <w:rFonts w:ascii="Arial" w:hAnsi="Arial" w:cs="Arial"/>
          <w:sz w:val="26"/>
          <w:szCs w:val="26"/>
          <w:lang w:val="es-MX"/>
        </w:rPr>
        <w:t xml:space="preserve">de </w:t>
      </w:r>
      <w:r w:rsidR="002071B3" w:rsidRPr="003B4A38">
        <w:rPr>
          <w:rFonts w:ascii="Arial" w:hAnsi="Arial" w:cs="Arial"/>
          <w:sz w:val="26"/>
          <w:szCs w:val="26"/>
          <w:lang w:val="es-MX"/>
        </w:rPr>
        <w:t>Primera Instancia</w:t>
      </w:r>
      <w:r>
        <w:rPr>
          <w:rFonts w:ascii="Arial" w:hAnsi="Arial" w:cs="Arial"/>
          <w:sz w:val="26"/>
          <w:szCs w:val="26"/>
          <w:lang w:val="es-MX"/>
        </w:rPr>
        <w:t xml:space="preserve">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675686">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sidRPr="005D2C5A">
        <w:rPr>
          <w:rFonts w:ascii="Arial" w:hAnsi="Arial" w:cs="Arial"/>
          <w:sz w:val="26"/>
          <w:szCs w:val="26"/>
          <w:lang w:val="es-MX"/>
        </w:rPr>
        <w:t>en contra del</w:t>
      </w:r>
      <w:r w:rsidRPr="005D2C5A">
        <w:rPr>
          <w:rFonts w:ascii="Arial" w:hAnsi="Arial" w:cs="Arial"/>
          <w:b/>
          <w:sz w:val="26"/>
          <w:szCs w:val="26"/>
          <w:lang w:val="es-MX"/>
        </w:rPr>
        <w:t xml:space="preserve"> </w:t>
      </w:r>
      <w:r>
        <w:rPr>
          <w:rFonts w:ascii="Arial" w:hAnsi="Arial" w:cs="Arial"/>
          <w:b/>
          <w:sz w:val="26"/>
          <w:szCs w:val="26"/>
          <w:lang w:val="es-MX"/>
        </w:rPr>
        <w:t>P</w:t>
      </w:r>
      <w:r w:rsidR="00CA1AB2">
        <w:rPr>
          <w:rFonts w:ascii="Arial" w:hAnsi="Arial" w:cs="Arial"/>
          <w:b/>
          <w:sz w:val="26"/>
          <w:szCs w:val="26"/>
          <w:lang w:val="es-MX"/>
        </w:rPr>
        <w:t>ROCURADOR FISCAL DEL GOBIERNO DEL ESTADO</w:t>
      </w:r>
      <w:r>
        <w:rPr>
          <w:rFonts w:ascii="Arial" w:hAnsi="Arial" w:cs="Arial"/>
          <w:b/>
          <w:sz w:val="26"/>
          <w:szCs w:val="26"/>
          <w:lang w:val="es-MX"/>
        </w:rPr>
        <w:t xml:space="preserve">, </w:t>
      </w:r>
      <w:r w:rsidRPr="006E349D">
        <w:rPr>
          <w:rFonts w:ascii="Arial" w:hAnsi="Arial" w:cs="Arial"/>
          <w:sz w:val="26"/>
          <w:szCs w:val="26"/>
          <w:lang w:val="es-MX"/>
        </w:rPr>
        <w:t xml:space="preserve">por lo que con fundamento en los artículos </w:t>
      </w:r>
      <w:r w:rsidR="000E0374">
        <w:rPr>
          <w:rFonts w:ascii="Arial" w:hAnsi="Arial" w:cs="Arial"/>
          <w:sz w:val="26"/>
          <w:szCs w:val="26"/>
          <w:lang w:val="es-MX"/>
        </w:rPr>
        <w:t>237 y 238</w:t>
      </w:r>
      <w:r w:rsidRPr="006E349D">
        <w:rPr>
          <w:rFonts w:ascii="Arial" w:hAnsi="Arial" w:cs="Arial"/>
          <w:sz w:val="26"/>
          <w:szCs w:val="26"/>
          <w:lang w:val="es-MX"/>
        </w:rPr>
        <w:t xml:space="preserve">,  de la Ley de </w:t>
      </w:r>
      <w:r w:rsidR="007F610E">
        <w:rPr>
          <w:rFonts w:ascii="Arial" w:hAnsi="Arial" w:cs="Arial"/>
          <w:sz w:val="26"/>
          <w:szCs w:val="26"/>
          <w:lang w:val="es-MX"/>
        </w:rPr>
        <w:t xml:space="preserve">Procedimiento y </w:t>
      </w:r>
      <w:r w:rsidRPr="006E349D">
        <w:rPr>
          <w:rFonts w:ascii="Arial" w:hAnsi="Arial" w:cs="Arial"/>
          <w:sz w:val="26"/>
          <w:szCs w:val="26"/>
          <w:lang w:val="es-MX"/>
        </w:rPr>
        <w:t>Justicia Administrativa para el Estado de Oaxaca, se admite. En consecuencia, se procede a dictar resolución en los siguientes términos</w:t>
      </w:r>
      <w:r w:rsidR="005F19BA" w:rsidRPr="00130FF2">
        <w:rPr>
          <w:rFonts w:ascii="Arial" w:hAnsi="Arial" w:cs="Arial"/>
          <w:sz w:val="26"/>
          <w:szCs w:val="26"/>
          <w:lang w:val="es-MX"/>
        </w:rPr>
        <w:t>:</w:t>
      </w:r>
    </w:p>
    <w:p w:rsidR="005F19BA" w:rsidRDefault="005F19BA" w:rsidP="005F19BA">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5F19BA" w:rsidRDefault="005F19BA" w:rsidP="005F19BA">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w:t>
      </w:r>
      <w:r w:rsidR="00CA1AB2">
        <w:rPr>
          <w:rFonts w:ascii="Arial" w:hAnsi="Arial" w:cs="Arial"/>
          <w:sz w:val="26"/>
          <w:szCs w:val="26"/>
          <w:lang w:val="es-MX"/>
        </w:rPr>
        <w:t xml:space="preserve">parte relativa del acuerdo de 16 dieciséis de enero </w:t>
      </w:r>
      <w:r>
        <w:rPr>
          <w:rFonts w:ascii="Arial" w:hAnsi="Arial" w:cs="Arial"/>
          <w:sz w:val="26"/>
          <w:szCs w:val="26"/>
          <w:lang w:val="es-MX"/>
        </w:rPr>
        <w:t xml:space="preserve">de </w:t>
      </w:r>
      <w:r w:rsidRPr="00F403FE">
        <w:rPr>
          <w:rFonts w:ascii="Arial" w:hAnsi="Arial" w:cs="Arial"/>
          <w:sz w:val="26"/>
          <w:szCs w:val="26"/>
          <w:lang w:val="es-MX"/>
        </w:rPr>
        <w:t>20</w:t>
      </w:r>
      <w:r>
        <w:rPr>
          <w:rFonts w:ascii="Arial" w:hAnsi="Arial" w:cs="Arial"/>
          <w:sz w:val="26"/>
          <w:szCs w:val="26"/>
          <w:lang w:val="es-MX"/>
        </w:rPr>
        <w:t>1</w:t>
      </w:r>
      <w:r w:rsidR="00CA1AB2">
        <w:rPr>
          <w:rFonts w:ascii="Arial" w:hAnsi="Arial" w:cs="Arial"/>
          <w:sz w:val="26"/>
          <w:szCs w:val="26"/>
          <w:lang w:val="es-MX"/>
        </w:rPr>
        <w:t>8</w:t>
      </w:r>
      <w:r w:rsidRPr="00F403FE">
        <w:rPr>
          <w:rFonts w:ascii="Arial" w:hAnsi="Arial" w:cs="Arial"/>
          <w:sz w:val="26"/>
          <w:szCs w:val="26"/>
          <w:lang w:val="es-MX"/>
        </w:rPr>
        <w:t xml:space="preserve"> dos mil </w:t>
      </w:r>
      <w:r w:rsidR="00CA1AB2">
        <w:rPr>
          <w:rFonts w:ascii="Arial" w:hAnsi="Arial" w:cs="Arial"/>
          <w:sz w:val="26"/>
          <w:szCs w:val="26"/>
          <w:lang w:val="es-MX"/>
        </w:rPr>
        <w:t>dieciocho</w:t>
      </w:r>
      <w:r>
        <w:rPr>
          <w:rFonts w:ascii="Arial" w:hAnsi="Arial" w:cs="Arial"/>
          <w:sz w:val="26"/>
          <w:szCs w:val="26"/>
          <w:lang w:val="es-MX"/>
        </w:rPr>
        <w:t>, dictad</w:t>
      </w:r>
      <w:r w:rsidR="00CA1AB2">
        <w:rPr>
          <w:rFonts w:ascii="Arial" w:hAnsi="Arial" w:cs="Arial"/>
          <w:sz w:val="26"/>
          <w:szCs w:val="26"/>
          <w:lang w:val="es-MX"/>
        </w:rPr>
        <w:t>o</w:t>
      </w:r>
      <w:r>
        <w:rPr>
          <w:rFonts w:ascii="Arial" w:hAnsi="Arial" w:cs="Arial"/>
          <w:sz w:val="26"/>
          <w:szCs w:val="26"/>
          <w:lang w:val="es-MX"/>
        </w:rPr>
        <w:t xml:space="preserve"> por el </w:t>
      </w:r>
      <w:r w:rsidR="00CA1AB2">
        <w:rPr>
          <w:rFonts w:ascii="Arial" w:hAnsi="Arial" w:cs="Arial"/>
          <w:sz w:val="26"/>
          <w:szCs w:val="26"/>
          <w:lang w:val="es-MX"/>
        </w:rPr>
        <w:t>Magistrado de la Sexta Sala Unitaria de Primera Instancia del entonces Tribunal de lo Contencioso Administrativo y de Cuentas del Poder Judicial del Estado</w:t>
      </w:r>
      <w:r>
        <w:rPr>
          <w:rFonts w:ascii="Arial" w:hAnsi="Arial" w:cs="Arial"/>
          <w:sz w:val="26"/>
          <w:szCs w:val="26"/>
          <w:lang w:val="es-MX"/>
        </w:rPr>
        <w:t xml:space="preserve">, </w:t>
      </w:r>
      <w:r w:rsidR="00675686">
        <w:rPr>
          <w:rFonts w:ascii="Arial" w:hAnsi="Arial" w:cs="Arial"/>
          <w:b/>
          <w:sz w:val="26"/>
          <w:szCs w:val="26"/>
          <w:lang w:val="es-MX"/>
        </w:rPr>
        <w:t>**********</w:t>
      </w:r>
      <w:r w:rsidR="00CA1AB2">
        <w:rPr>
          <w:rFonts w:ascii="Arial" w:hAnsi="Arial" w:cs="Arial"/>
          <w:b/>
          <w:sz w:val="26"/>
          <w:szCs w:val="26"/>
          <w:lang w:val="es-MX"/>
        </w:rPr>
        <w:t xml:space="preserve"> </w:t>
      </w:r>
      <w:r w:rsidR="00CA1AB2">
        <w:rPr>
          <w:rFonts w:ascii="Arial" w:hAnsi="Arial" w:cs="Arial"/>
          <w:sz w:val="26"/>
          <w:szCs w:val="26"/>
          <w:lang w:val="es-MX"/>
        </w:rPr>
        <w:t>parte actora en el juicio</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1050B2" w:rsidRDefault="005F19BA" w:rsidP="005F19BA">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w:t>
      </w:r>
      <w:r w:rsidR="00CA1AB2">
        <w:rPr>
          <w:rFonts w:ascii="Arial" w:hAnsi="Arial" w:cs="Arial"/>
          <w:bCs/>
          <w:sz w:val="26"/>
          <w:szCs w:val="26"/>
          <w:lang w:val="es-MX"/>
        </w:rPr>
        <w:t>a parte relativa del acuerdo recurrido es la</w:t>
      </w:r>
      <w:r>
        <w:rPr>
          <w:rFonts w:ascii="Arial" w:hAnsi="Arial" w:cs="Arial"/>
          <w:bCs/>
          <w:sz w:val="26"/>
          <w:szCs w:val="26"/>
          <w:lang w:val="es-MX"/>
        </w:rPr>
        <w:t xml:space="preserve"> siguiente:</w:t>
      </w:r>
    </w:p>
    <w:p w:rsidR="00373E9F" w:rsidRDefault="005F19BA" w:rsidP="005F19BA">
      <w:pPr>
        <w:pStyle w:val="Textoindependiente21"/>
        <w:tabs>
          <w:tab w:val="left" w:pos="7938"/>
        </w:tabs>
        <w:spacing w:line="360" w:lineRule="auto"/>
        <w:ind w:left="1134" w:right="17" w:firstLine="0"/>
        <w:rPr>
          <w:rFonts w:ascii="Arial" w:hAnsi="Arial" w:cs="Arial"/>
          <w:bCs/>
          <w:iCs/>
          <w:sz w:val="22"/>
          <w:szCs w:val="22"/>
        </w:rPr>
      </w:pPr>
      <w:r>
        <w:rPr>
          <w:rFonts w:ascii="Arial" w:hAnsi="Arial" w:cs="Arial"/>
          <w:b/>
          <w:bCs/>
          <w:iCs/>
          <w:sz w:val="22"/>
          <w:szCs w:val="22"/>
        </w:rPr>
        <w:t>“</w:t>
      </w:r>
      <w:r w:rsidR="00373E9F">
        <w:rPr>
          <w:rFonts w:ascii="Arial" w:hAnsi="Arial" w:cs="Arial"/>
          <w:bCs/>
          <w:iCs/>
          <w:sz w:val="22"/>
          <w:szCs w:val="22"/>
        </w:rPr>
        <w:t xml:space="preserve">… </w:t>
      </w:r>
    </w:p>
    <w:p w:rsidR="00E4435D" w:rsidRDefault="00373E9F" w:rsidP="005F19BA">
      <w:pPr>
        <w:pStyle w:val="Textoindependiente21"/>
        <w:tabs>
          <w:tab w:val="left" w:pos="7938"/>
        </w:tabs>
        <w:spacing w:line="360" w:lineRule="auto"/>
        <w:ind w:left="1134" w:right="17" w:firstLine="0"/>
        <w:rPr>
          <w:rFonts w:ascii="Arial" w:hAnsi="Arial" w:cs="Arial"/>
          <w:bCs/>
          <w:iCs/>
          <w:sz w:val="22"/>
          <w:szCs w:val="22"/>
        </w:rPr>
      </w:pPr>
      <w:r>
        <w:rPr>
          <w:rFonts w:ascii="Arial" w:hAnsi="Arial" w:cs="Arial"/>
          <w:bCs/>
          <w:iCs/>
          <w:sz w:val="22"/>
          <w:szCs w:val="22"/>
        </w:rPr>
        <w:t>Tomando en consideración que el artículo 133, fracción I, de la Ley de Procedimiento y Justicia Administrativa</w:t>
      </w:r>
      <w:r w:rsidR="004218E9">
        <w:rPr>
          <w:rFonts w:ascii="Arial" w:hAnsi="Arial" w:cs="Arial"/>
          <w:bCs/>
          <w:iCs/>
          <w:sz w:val="22"/>
          <w:szCs w:val="22"/>
        </w:rPr>
        <w:t xml:space="preserve"> para el Estado de Oaxaca, aplicable en este caso, señala que las Salas Unitarias de primera instancia del tribunal de lo Contencioso Administrativo y de Cuentas, son </w:t>
      </w:r>
      <w:r w:rsidR="004218E9">
        <w:rPr>
          <w:rFonts w:ascii="Arial" w:hAnsi="Arial" w:cs="Arial"/>
          <w:bCs/>
          <w:iCs/>
          <w:sz w:val="22"/>
          <w:szCs w:val="22"/>
        </w:rPr>
        <w:lastRenderedPageBreak/>
        <w:t xml:space="preserve">competentes para conocer y resolver de los juicios que se promuevan en contra de : ´Los actos y resoluciones emanados de las autoridades del Poder Ejecutivo, de los Municipios y de sus organismos descentralizados y desconcentrados, cuando estos actúen como autoridades, dictándolas, ordenándolas ejecutándolas o tratando de ejecutarlas </w:t>
      </w:r>
      <w:r w:rsidR="004218E9">
        <w:rPr>
          <w:rFonts w:ascii="Arial" w:hAnsi="Arial" w:cs="Arial"/>
          <w:b/>
          <w:bCs/>
          <w:iCs/>
          <w:sz w:val="22"/>
          <w:szCs w:val="22"/>
        </w:rPr>
        <w:t>y que causen agravios a los particulares,</w:t>
      </w:r>
      <w:r w:rsidR="004218E9">
        <w:rPr>
          <w:rFonts w:ascii="Arial" w:hAnsi="Arial" w:cs="Arial"/>
          <w:bCs/>
          <w:iCs/>
          <w:sz w:val="22"/>
          <w:szCs w:val="22"/>
        </w:rPr>
        <w:t xml:space="preserve"> por no ajustarse a los elementos y requisitos de validez previstos por el artículo 17 de esta Ley;´. Se advierte que el acto impugnado </w:t>
      </w:r>
      <w:r w:rsidR="00124A21">
        <w:rPr>
          <w:rFonts w:ascii="Arial" w:hAnsi="Arial" w:cs="Arial"/>
          <w:bCs/>
          <w:iCs/>
          <w:sz w:val="22"/>
          <w:szCs w:val="22"/>
        </w:rPr>
        <w:t>en la presente demanda no es de carácter definitivo, porque el Aviso Previo de Embargo es una carta invitación para que el contribuyente realice el pago de sus adeudos respecto del Impuesto Sobre Tenencia o Uso de Veh</w:t>
      </w:r>
      <w:r w:rsidR="00F23C95">
        <w:rPr>
          <w:rFonts w:ascii="Arial" w:hAnsi="Arial" w:cs="Arial"/>
          <w:bCs/>
          <w:iCs/>
          <w:sz w:val="22"/>
          <w:szCs w:val="22"/>
        </w:rPr>
        <w:t xml:space="preserve">ículos, por lo que es un documento de carácter informativo, como se constata del acto en que se impugna </w:t>
      </w:r>
      <w:r w:rsidR="00F23C95" w:rsidRPr="007257ED">
        <w:rPr>
          <w:rFonts w:ascii="Calibri" w:hAnsi="Calibri" w:cs="Calibri"/>
          <w:bCs/>
          <w:i/>
          <w:iCs/>
          <w:sz w:val="22"/>
          <w:szCs w:val="22"/>
        </w:rPr>
        <w:t>´…Cabe mencionar que el presente documento es de carácter informativo, por lo que no determina cantidad alguna a pagar, ni genere derechos …´</w:t>
      </w:r>
      <w:r w:rsidR="00F23C95">
        <w:rPr>
          <w:rFonts w:ascii="Arial" w:hAnsi="Arial" w:cs="Arial"/>
          <w:bCs/>
          <w:iCs/>
          <w:sz w:val="22"/>
          <w:szCs w:val="22"/>
        </w:rPr>
        <w:t>, siendo únicamente</w:t>
      </w:r>
      <w:r w:rsidR="00124A21">
        <w:rPr>
          <w:rFonts w:ascii="Arial" w:hAnsi="Arial" w:cs="Arial"/>
          <w:bCs/>
          <w:iCs/>
          <w:sz w:val="22"/>
          <w:szCs w:val="22"/>
        </w:rPr>
        <w:t xml:space="preserve"> </w:t>
      </w:r>
      <w:r w:rsidR="004218E9">
        <w:rPr>
          <w:rFonts w:ascii="Arial" w:hAnsi="Arial" w:cs="Arial"/>
          <w:bCs/>
          <w:iCs/>
          <w:sz w:val="22"/>
          <w:szCs w:val="22"/>
        </w:rPr>
        <w:t xml:space="preserve"> </w:t>
      </w:r>
      <w:r w:rsidR="00F23C95">
        <w:rPr>
          <w:rFonts w:ascii="Arial" w:hAnsi="Arial" w:cs="Arial"/>
          <w:bCs/>
          <w:iCs/>
          <w:sz w:val="22"/>
          <w:szCs w:val="22"/>
        </w:rPr>
        <w:t xml:space="preserve">un esquema preventivo para evitar sanciones, por lo que en este caso no afecta la esfera jurídica del promovente; consecuentemente </w:t>
      </w:r>
      <w:r w:rsidR="005F19BA">
        <w:rPr>
          <w:rFonts w:ascii="Arial" w:hAnsi="Arial" w:cs="Arial"/>
          <w:bCs/>
          <w:iCs/>
          <w:sz w:val="22"/>
          <w:szCs w:val="22"/>
        </w:rPr>
        <w:t>s</w:t>
      </w:r>
      <w:r w:rsidR="00F23C95">
        <w:rPr>
          <w:rFonts w:ascii="Arial" w:hAnsi="Arial" w:cs="Arial"/>
          <w:bCs/>
          <w:iCs/>
          <w:sz w:val="22"/>
          <w:szCs w:val="22"/>
        </w:rPr>
        <w:t xml:space="preserve">e determina </w:t>
      </w:r>
      <w:r w:rsidR="00E4435D">
        <w:rPr>
          <w:rFonts w:ascii="Arial" w:hAnsi="Arial" w:cs="Arial"/>
          <w:b/>
          <w:bCs/>
          <w:iCs/>
          <w:sz w:val="22"/>
          <w:szCs w:val="22"/>
        </w:rPr>
        <w:t>Sobreseer el presente juicio,</w:t>
      </w:r>
      <w:r w:rsidR="00E4435D">
        <w:rPr>
          <w:rFonts w:ascii="Arial" w:hAnsi="Arial" w:cs="Arial"/>
          <w:bCs/>
          <w:iCs/>
          <w:sz w:val="22"/>
          <w:szCs w:val="22"/>
        </w:rPr>
        <w:t xml:space="preserve"> al actualizarse las causales de improcedencia y sobreseimiento previstas en el artículo </w:t>
      </w:r>
      <w:r w:rsidR="00E4435D">
        <w:rPr>
          <w:rFonts w:ascii="Arial" w:hAnsi="Arial" w:cs="Arial"/>
          <w:bCs/>
          <w:iCs/>
          <w:sz w:val="22"/>
          <w:szCs w:val="22"/>
          <w:u w:val="single"/>
        </w:rPr>
        <w:t>en el artículo (sic) 162, fracción II, y 161, fracción II, de la Ley de Procedimiento y Justicia Administrativa para el Estado de Oaxaca.</w:t>
      </w:r>
    </w:p>
    <w:p w:rsidR="005F19BA" w:rsidRDefault="005F19BA" w:rsidP="005F19BA">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D4278C" w:rsidRDefault="00680753" w:rsidP="00D4278C">
      <w:pPr>
        <w:pStyle w:val="Textoindependiente21"/>
        <w:spacing w:before="240" w:line="360" w:lineRule="auto"/>
        <w:ind w:right="18" w:firstLine="0"/>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5620385</wp:posOffset>
                </wp:positionH>
                <wp:positionV relativeFrom="paragraph">
                  <wp:posOffset>1064895</wp:posOffset>
                </wp:positionV>
                <wp:extent cx="1076325" cy="657225"/>
                <wp:effectExtent l="6350" t="9525"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10D0" w:rsidRDefault="005E10D0" w:rsidP="005E10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2.55pt;margin-top:83.8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">
                <v:textbox>
                  <w:txbxContent>
                    <w:p w:rsidR="005E10D0" w:rsidRDefault="005E10D0" w:rsidP="005E10D0">
                      <w:pPr>
                        <w:rPr>
                          <w:sz w:val="16"/>
                          <w:szCs w:val="16"/>
                        </w:rPr>
                      </w:pPr>
                      <w:r>
                        <w:rPr>
                          <w:sz w:val="16"/>
                          <w:szCs w:val="16"/>
                        </w:rPr>
                        <w:t>Datos personales protegidos por el Art. 116 de la LGTAIP y el Art. 56 de la LTAIPEO</w:t>
                      </w:r>
                    </w:p>
                  </w:txbxContent>
                </v:textbox>
              </v:shape>
            </w:pict>
          </mc:Fallback>
        </mc:AlternateContent>
      </w:r>
      <w:r w:rsidR="004F3025">
        <w:rPr>
          <w:rFonts w:ascii="Arial" w:hAnsi="Arial" w:cs="Arial"/>
          <w:b/>
          <w:bCs/>
          <w:iCs/>
          <w:sz w:val="26"/>
          <w:szCs w:val="26"/>
        </w:rPr>
        <w:t xml:space="preserve">           </w:t>
      </w:r>
      <w:r w:rsidR="007C50B2" w:rsidRPr="006E349D">
        <w:rPr>
          <w:rFonts w:ascii="Arial" w:hAnsi="Arial" w:cs="Arial"/>
          <w:b/>
          <w:bCs/>
          <w:iCs/>
          <w:sz w:val="26"/>
          <w:szCs w:val="26"/>
        </w:rPr>
        <w:t xml:space="preserve">PRIMERO. </w:t>
      </w:r>
      <w:r w:rsidR="007C50B2" w:rsidRPr="00F73CD5">
        <w:rPr>
          <w:rFonts w:ascii="Arial" w:hAnsi="Arial" w:cs="Arial"/>
          <w:bCs/>
          <w:iCs/>
          <w:sz w:val="26"/>
          <w:szCs w:val="26"/>
        </w:rPr>
        <w:t xml:space="preserve">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7C50B2">
        <w:rPr>
          <w:rFonts w:ascii="Arial" w:hAnsi="Arial" w:cs="Arial"/>
          <w:bCs/>
          <w:iCs/>
          <w:sz w:val="26"/>
          <w:szCs w:val="26"/>
        </w:rPr>
        <w:t>125, 127,129, 130, fracción I, 131, 231, 236 y 23</w:t>
      </w:r>
      <w:r w:rsidR="007C50B2" w:rsidRPr="00F73CD5">
        <w:rPr>
          <w:rFonts w:ascii="Arial" w:hAnsi="Arial" w:cs="Arial"/>
          <w:bCs/>
          <w:iCs/>
          <w:sz w:val="26"/>
          <w:szCs w:val="26"/>
        </w:rPr>
        <w:t xml:space="preserve">8, de la </w:t>
      </w:r>
      <w:r w:rsidR="007C50B2" w:rsidRPr="0003358A">
        <w:rPr>
          <w:rFonts w:ascii="Arial" w:hAnsi="Arial" w:cs="Arial"/>
          <w:bCs/>
          <w:color w:val="000000"/>
          <w:sz w:val="26"/>
          <w:szCs w:val="26"/>
        </w:rPr>
        <w:t xml:space="preserve">Ley de </w:t>
      </w:r>
      <w:r w:rsidR="007C50B2">
        <w:rPr>
          <w:rFonts w:ascii="Arial" w:hAnsi="Arial" w:cs="Arial"/>
          <w:bCs/>
          <w:color w:val="000000"/>
          <w:sz w:val="26"/>
          <w:szCs w:val="26"/>
        </w:rPr>
        <w:t xml:space="preserve">Procedimiento y Justicia Administrativa para el Estado, </w:t>
      </w:r>
      <w:r w:rsidR="00D4278C" w:rsidRPr="00F37C43">
        <w:rPr>
          <w:rFonts w:ascii="Arial" w:hAnsi="Arial" w:cs="Arial"/>
          <w:bCs/>
          <w:iCs/>
          <w:sz w:val="26"/>
          <w:szCs w:val="26"/>
        </w:rPr>
        <w:t xml:space="preserve">dado que se trata de un Recurso de Revisión interpuesto en contra </w:t>
      </w:r>
      <w:r w:rsidR="00D4278C">
        <w:rPr>
          <w:rFonts w:ascii="Arial" w:hAnsi="Arial" w:cs="Arial"/>
          <w:bCs/>
          <w:iCs/>
          <w:sz w:val="26"/>
          <w:szCs w:val="26"/>
        </w:rPr>
        <w:t>de</w:t>
      </w:r>
      <w:r w:rsidR="002F2059">
        <w:rPr>
          <w:rFonts w:ascii="Arial" w:hAnsi="Arial" w:cs="Arial"/>
          <w:bCs/>
          <w:iCs/>
          <w:sz w:val="26"/>
          <w:szCs w:val="26"/>
        </w:rPr>
        <w:t xml:space="preserve"> </w:t>
      </w:r>
      <w:r w:rsidR="00D4278C">
        <w:rPr>
          <w:rFonts w:ascii="Arial" w:hAnsi="Arial" w:cs="Arial"/>
          <w:bCs/>
          <w:iCs/>
          <w:sz w:val="26"/>
          <w:szCs w:val="26"/>
        </w:rPr>
        <w:t>l</w:t>
      </w:r>
      <w:r w:rsidR="002F2059">
        <w:rPr>
          <w:rFonts w:ascii="Arial" w:hAnsi="Arial" w:cs="Arial"/>
          <w:bCs/>
          <w:iCs/>
          <w:sz w:val="26"/>
          <w:szCs w:val="26"/>
        </w:rPr>
        <w:t xml:space="preserve">a parte relativa del </w:t>
      </w:r>
      <w:r w:rsidR="00D4278C">
        <w:rPr>
          <w:rFonts w:ascii="Arial" w:hAnsi="Arial" w:cs="Arial"/>
          <w:bCs/>
          <w:iCs/>
          <w:sz w:val="26"/>
          <w:szCs w:val="26"/>
        </w:rPr>
        <w:t>a</w:t>
      </w:r>
      <w:r w:rsidR="002F2059">
        <w:rPr>
          <w:rFonts w:ascii="Arial" w:hAnsi="Arial" w:cs="Arial"/>
          <w:bCs/>
          <w:iCs/>
          <w:sz w:val="26"/>
          <w:szCs w:val="26"/>
        </w:rPr>
        <w:t>cuerdo</w:t>
      </w:r>
      <w:r w:rsidR="00D4278C">
        <w:rPr>
          <w:rFonts w:ascii="Arial" w:hAnsi="Arial" w:cs="Arial"/>
          <w:bCs/>
          <w:iCs/>
          <w:sz w:val="26"/>
          <w:szCs w:val="26"/>
        </w:rPr>
        <w:t xml:space="preserve"> de </w:t>
      </w:r>
      <w:r w:rsidR="002F2059">
        <w:rPr>
          <w:rFonts w:ascii="Arial" w:hAnsi="Arial" w:cs="Arial"/>
          <w:bCs/>
          <w:iCs/>
          <w:sz w:val="26"/>
          <w:szCs w:val="26"/>
        </w:rPr>
        <w:t xml:space="preserve">dieciséis </w:t>
      </w:r>
      <w:r w:rsidR="00D4278C">
        <w:rPr>
          <w:rFonts w:ascii="Arial" w:hAnsi="Arial" w:cs="Arial"/>
          <w:bCs/>
          <w:iCs/>
          <w:sz w:val="26"/>
          <w:szCs w:val="26"/>
        </w:rPr>
        <w:t xml:space="preserve">de </w:t>
      </w:r>
      <w:r w:rsidR="002F2059">
        <w:rPr>
          <w:rFonts w:ascii="Arial" w:hAnsi="Arial" w:cs="Arial"/>
          <w:bCs/>
          <w:iCs/>
          <w:sz w:val="26"/>
          <w:szCs w:val="26"/>
        </w:rPr>
        <w:t>enero</w:t>
      </w:r>
      <w:r w:rsidR="00D4278C">
        <w:rPr>
          <w:rFonts w:ascii="Arial" w:hAnsi="Arial" w:cs="Arial"/>
          <w:bCs/>
          <w:iCs/>
          <w:sz w:val="26"/>
          <w:szCs w:val="26"/>
        </w:rPr>
        <w:t xml:space="preserve"> </w:t>
      </w:r>
      <w:r w:rsidR="00D4278C">
        <w:rPr>
          <w:rFonts w:ascii="Arial" w:hAnsi="Arial" w:cs="Arial"/>
          <w:sz w:val="26"/>
          <w:szCs w:val="26"/>
          <w:lang w:val="es-MX"/>
        </w:rPr>
        <w:t>de dos mil dieci</w:t>
      </w:r>
      <w:r w:rsidR="002F2059">
        <w:rPr>
          <w:rFonts w:ascii="Arial" w:hAnsi="Arial" w:cs="Arial"/>
          <w:sz w:val="26"/>
          <w:szCs w:val="26"/>
          <w:lang w:val="es-MX"/>
        </w:rPr>
        <w:t>ocho</w:t>
      </w:r>
      <w:r w:rsidR="00D4278C">
        <w:rPr>
          <w:rFonts w:ascii="Arial" w:hAnsi="Arial" w:cs="Arial"/>
          <w:sz w:val="26"/>
          <w:szCs w:val="26"/>
          <w:lang w:val="es-MX"/>
        </w:rPr>
        <w:t>, dictad</w:t>
      </w:r>
      <w:r w:rsidR="002F2059">
        <w:rPr>
          <w:rFonts w:ascii="Arial" w:hAnsi="Arial" w:cs="Arial"/>
          <w:sz w:val="26"/>
          <w:szCs w:val="26"/>
          <w:lang w:val="es-MX"/>
        </w:rPr>
        <w:t>o</w:t>
      </w:r>
      <w:r w:rsidR="00D4278C">
        <w:rPr>
          <w:rFonts w:ascii="Arial" w:hAnsi="Arial" w:cs="Arial"/>
          <w:sz w:val="26"/>
          <w:szCs w:val="26"/>
          <w:lang w:val="es-MX"/>
        </w:rPr>
        <w:t xml:space="preserve"> por la </w:t>
      </w:r>
      <w:r w:rsidR="002F2059">
        <w:rPr>
          <w:rFonts w:ascii="Arial" w:hAnsi="Arial" w:cs="Arial"/>
          <w:sz w:val="26"/>
          <w:szCs w:val="26"/>
          <w:lang w:val="es-MX"/>
        </w:rPr>
        <w:t>Sexta</w:t>
      </w:r>
      <w:r w:rsidR="00D4278C">
        <w:rPr>
          <w:rFonts w:ascii="Arial" w:hAnsi="Arial" w:cs="Arial"/>
          <w:sz w:val="26"/>
          <w:szCs w:val="26"/>
          <w:lang w:val="es-MX"/>
        </w:rPr>
        <w:t xml:space="preserve"> Sala Unitaria de Primera Instancia del entonces Tribunal de lo Contencioso Administrativo y de Cuentas del Poder Judicial del Estado,</w:t>
      </w:r>
      <w:r w:rsidR="00D4278C" w:rsidRPr="00A52F58">
        <w:rPr>
          <w:rFonts w:ascii="Arial" w:hAnsi="Arial" w:cs="Arial"/>
          <w:bCs/>
          <w:iCs/>
          <w:sz w:val="26"/>
          <w:szCs w:val="26"/>
        </w:rPr>
        <w:t xml:space="preserve"> </w:t>
      </w:r>
      <w:r w:rsidR="00D4278C" w:rsidRPr="00F37C43">
        <w:rPr>
          <w:rFonts w:ascii="Arial" w:hAnsi="Arial" w:cs="Arial"/>
          <w:bCs/>
          <w:iCs/>
          <w:sz w:val="26"/>
          <w:szCs w:val="26"/>
        </w:rPr>
        <w:t>en el Juicio</w:t>
      </w:r>
      <w:r w:rsidR="00D4278C">
        <w:rPr>
          <w:rFonts w:ascii="Arial" w:hAnsi="Arial" w:cs="Arial"/>
          <w:bCs/>
          <w:iCs/>
          <w:sz w:val="26"/>
          <w:szCs w:val="26"/>
        </w:rPr>
        <w:t xml:space="preserve"> de nulidad </w:t>
      </w:r>
      <w:r w:rsidR="00D4278C">
        <w:rPr>
          <w:rFonts w:ascii="Arial" w:hAnsi="Arial" w:cs="Arial"/>
          <w:b/>
          <w:bCs/>
          <w:iCs/>
          <w:sz w:val="26"/>
          <w:szCs w:val="26"/>
        </w:rPr>
        <w:t>01</w:t>
      </w:r>
      <w:r w:rsidR="002F2059">
        <w:rPr>
          <w:rFonts w:ascii="Arial" w:hAnsi="Arial" w:cs="Arial"/>
          <w:b/>
          <w:bCs/>
          <w:iCs/>
          <w:sz w:val="26"/>
          <w:szCs w:val="26"/>
        </w:rPr>
        <w:t>25</w:t>
      </w:r>
      <w:r w:rsidR="00D4278C" w:rsidRPr="005D2C5A">
        <w:rPr>
          <w:rFonts w:ascii="Arial" w:hAnsi="Arial" w:cs="Arial"/>
          <w:b/>
          <w:sz w:val="26"/>
          <w:szCs w:val="26"/>
          <w:lang w:val="es-MX"/>
        </w:rPr>
        <w:t>/20</w:t>
      </w:r>
      <w:r w:rsidR="00D4278C">
        <w:rPr>
          <w:rFonts w:ascii="Arial" w:hAnsi="Arial" w:cs="Arial"/>
          <w:b/>
          <w:sz w:val="26"/>
          <w:szCs w:val="26"/>
          <w:lang w:val="es-MX"/>
        </w:rPr>
        <w:t>17</w:t>
      </w:r>
      <w:r w:rsidR="00D4278C">
        <w:rPr>
          <w:rFonts w:ascii="Arial" w:hAnsi="Arial" w:cs="Arial"/>
          <w:b/>
          <w:bCs/>
          <w:iCs/>
          <w:sz w:val="26"/>
          <w:szCs w:val="26"/>
        </w:rPr>
        <w:t>.</w:t>
      </w:r>
    </w:p>
    <w:p w:rsidR="008B350F" w:rsidRDefault="005F19BA" w:rsidP="00D4278C">
      <w:pPr>
        <w:spacing w:before="240" w:line="360" w:lineRule="auto"/>
        <w:ind w:firstLine="708"/>
        <w:jc w:val="both"/>
        <w:rPr>
          <w:rFonts w:ascii="Arial" w:hAnsi="Arial" w:cs="Arial"/>
          <w:sz w:val="26"/>
          <w:szCs w:val="26"/>
          <w:lang w:val="es-MX"/>
        </w:rPr>
      </w:pPr>
      <w:r w:rsidRPr="00DD43CA">
        <w:rPr>
          <w:rFonts w:ascii="Arial" w:hAnsi="Arial" w:cs="Arial"/>
          <w:b/>
          <w:bCs/>
          <w:sz w:val="26"/>
          <w:szCs w:val="26"/>
          <w:lang w:val="es-MX"/>
        </w:rPr>
        <w:t>SEGUNDO.</w:t>
      </w:r>
      <w:r w:rsidR="003570A8">
        <w:rPr>
          <w:rFonts w:ascii="Arial" w:hAnsi="Arial" w:cs="Arial"/>
          <w:sz w:val="26"/>
          <w:szCs w:val="26"/>
          <w:lang w:val="es-MX"/>
        </w:rPr>
        <w:t xml:space="preserve"> </w:t>
      </w:r>
      <w:r w:rsidR="000F43B4">
        <w:rPr>
          <w:rFonts w:ascii="Arial" w:hAnsi="Arial" w:cs="Arial"/>
          <w:sz w:val="26"/>
          <w:szCs w:val="26"/>
          <w:lang w:val="es-MX"/>
        </w:rPr>
        <w:t>De las constancias de autos del expediente 0</w:t>
      </w:r>
      <w:r w:rsidR="004F1561">
        <w:rPr>
          <w:rFonts w:ascii="Arial" w:hAnsi="Arial" w:cs="Arial"/>
          <w:sz w:val="26"/>
          <w:szCs w:val="26"/>
          <w:lang w:val="es-MX"/>
        </w:rPr>
        <w:t>12</w:t>
      </w:r>
      <w:r w:rsidR="002F2059">
        <w:rPr>
          <w:rFonts w:ascii="Arial" w:hAnsi="Arial" w:cs="Arial"/>
          <w:sz w:val="26"/>
          <w:szCs w:val="26"/>
          <w:lang w:val="es-MX"/>
        </w:rPr>
        <w:t>5</w:t>
      </w:r>
      <w:r w:rsidR="000F43B4">
        <w:rPr>
          <w:rFonts w:ascii="Arial" w:hAnsi="Arial" w:cs="Arial"/>
          <w:sz w:val="26"/>
          <w:szCs w:val="26"/>
          <w:lang w:val="es-MX"/>
        </w:rPr>
        <w:t>/201</w:t>
      </w:r>
      <w:r w:rsidR="002F2059">
        <w:rPr>
          <w:rFonts w:ascii="Arial" w:hAnsi="Arial" w:cs="Arial"/>
          <w:sz w:val="26"/>
          <w:szCs w:val="26"/>
          <w:lang w:val="es-MX"/>
        </w:rPr>
        <w:t>7</w:t>
      </w:r>
      <w:r w:rsidR="000F43B4">
        <w:rPr>
          <w:rFonts w:ascii="Arial" w:hAnsi="Arial" w:cs="Arial"/>
          <w:sz w:val="26"/>
          <w:szCs w:val="26"/>
          <w:lang w:val="es-MX"/>
        </w:rPr>
        <w:t xml:space="preserve"> de la Se</w:t>
      </w:r>
      <w:r w:rsidR="002F2059">
        <w:rPr>
          <w:rFonts w:ascii="Arial" w:hAnsi="Arial" w:cs="Arial"/>
          <w:sz w:val="26"/>
          <w:szCs w:val="26"/>
          <w:lang w:val="es-MX"/>
        </w:rPr>
        <w:t xml:space="preserve">xta </w:t>
      </w:r>
      <w:r w:rsidR="000F43B4">
        <w:rPr>
          <w:rFonts w:ascii="Arial" w:hAnsi="Arial" w:cs="Arial"/>
          <w:sz w:val="26"/>
          <w:szCs w:val="26"/>
          <w:lang w:val="es-MX"/>
        </w:rPr>
        <w:t xml:space="preserve">Sala </w:t>
      </w:r>
      <w:r w:rsidR="002F2059">
        <w:rPr>
          <w:rFonts w:ascii="Arial" w:hAnsi="Arial" w:cs="Arial"/>
          <w:sz w:val="26"/>
          <w:szCs w:val="26"/>
          <w:lang w:val="es-MX"/>
        </w:rPr>
        <w:t xml:space="preserve">Unitaria </w:t>
      </w:r>
      <w:r w:rsidR="000F43B4">
        <w:rPr>
          <w:rFonts w:ascii="Arial" w:hAnsi="Arial" w:cs="Arial"/>
          <w:sz w:val="26"/>
          <w:szCs w:val="26"/>
          <w:lang w:val="es-MX"/>
        </w:rPr>
        <w:t xml:space="preserve">de Primera Instancia, que tienen valor probatorio pleno </w:t>
      </w:r>
      <w:r w:rsidR="002F2059">
        <w:rPr>
          <w:rFonts w:ascii="Arial" w:hAnsi="Arial" w:cs="Arial"/>
          <w:sz w:val="26"/>
          <w:szCs w:val="26"/>
          <w:lang w:val="es-MX"/>
        </w:rPr>
        <w:t>acorde</w:t>
      </w:r>
      <w:r w:rsidR="000F43B4">
        <w:rPr>
          <w:rFonts w:ascii="Arial" w:hAnsi="Arial" w:cs="Arial"/>
          <w:sz w:val="26"/>
          <w:szCs w:val="26"/>
          <w:lang w:val="es-MX"/>
        </w:rPr>
        <w:t xml:space="preserve"> a lo dispuesto por el artículo </w:t>
      </w:r>
      <w:r w:rsidR="00F37F18">
        <w:rPr>
          <w:rFonts w:ascii="Arial" w:hAnsi="Arial" w:cs="Arial"/>
          <w:sz w:val="26"/>
          <w:szCs w:val="26"/>
          <w:lang w:val="es-MX"/>
        </w:rPr>
        <w:t>203, fracción I</w:t>
      </w:r>
      <w:r w:rsidR="002F2059">
        <w:rPr>
          <w:rFonts w:ascii="Arial" w:hAnsi="Arial" w:cs="Arial"/>
          <w:sz w:val="26"/>
          <w:szCs w:val="26"/>
          <w:lang w:val="es-MX"/>
        </w:rPr>
        <w:t>,</w:t>
      </w:r>
      <w:r w:rsidR="000F43B4">
        <w:rPr>
          <w:rFonts w:ascii="Arial" w:hAnsi="Arial" w:cs="Arial"/>
          <w:sz w:val="26"/>
          <w:szCs w:val="26"/>
          <w:lang w:val="es-MX"/>
        </w:rPr>
        <w:t xml:space="preserve"> de la Ley de </w:t>
      </w:r>
      <w:r w:rsidR="0098302C">
        <w:rPr>
          <w:rFonts w:ascii="Arial" w:hAnsi="Arial" w:cs="Arial"/>
          <w:sz w:val="26"/>
          <w:szCs w:val="26"/>
          <w:lang w:val="es-MX"/>
        </w:rPr>
        <w:t xml:space="preserve">Procedimiento y </w:t>
      </w:r>
      <w:r w:rsidR="000F43B4">
        <w:rPr>
          <w:rFonts w:ascii="Arial" w:hAnsi="Arial" w:cs="Arial"/>
          <w:sz w:val="26"/>
          <w:szCs w:val="26"/>
          <w:lang w:val="es-MX"/>
        </w:rPr>
        <w:t xml:space="preserve">Justicia Administrativa para el Estado de Oaxaca, </w:t>
      </w:r>
      <w:r w:rsidR="002E28EB">
        <w:rPr>
          <w:rFonts w:ascii="Arial" w:hAnsi="Arial" w:cs="Arial"/>
          <w:sz w:val="26"/>
          <w:szCs w:val="26"/>
          <w:lang w:val="es-MX"/>
        </w:rPr>
        <w:t>las cuales</w:t>
      </w:r>
      <w:r w:rsidR="000F43B4">
        <w:rPr>
          <w:rFonts w:ascii="Arial" w:hAnsi="Arial" w:cs="Arial"/>
          <w:sz w:val="26"/>
          <w:szCs w:val="26"/>
          <w:lang w:val="es-MX"/>
        </w:rPr>
        <w:t xml:space="preserve"> fueron remitidas para la substanciación del </w:t>
      </w:r>
      <w:r w:rsidR="000F43B4">
        <w:rPr>
          <w:rFonts w:ascii="Arial" w:hAnsi="Arial" w:cs="Arial"/>
          <w:sz w:val="26"/>
          <w:szCs w:val="26"/>
          <w:lang w:val="es-MX"/>
        </w:rPr>
        <w:lastRenderedPageBreak/>
        <w:t>presente Recurso de Revisión, en contra de</w:t>
      </w:r>
      <w:r w:rsidR="002F2059">
        <w:rPr>
          <w:rFonts w:ascii="Arial" w:hAnsi="Arial" w:cs="Arial"/>
          <w:sz w:val="26"/>
          <w:szCs w:val="26"/>
          <w:lang w:val="es-MX"/>
        </w:rPr>
        <w:t xml:space="preserve">l acuerdo </w:t>
      </w:r>
      <w:r w:rsidR="000F43B4">
        <w:rPr>
          <w:rFonts w:ascii="Arial" w:hAnsi="Arial" w:cs="Arial"/>
          <w:sz w:val="26"/>
          <w:szCs w:val="26"/>
          <w:lang w:val="es-MX"/>
        </w:rPr>
        <w:t>dictad</w:t>
      </w:r>
      <w:r w:rsidR="002F2059">
        <w:rPr>
          <w:rFonts w:ascii="Arial" w:hAnsi="Arial" w:cs="Arial"/>
          <w:sz w:val="26"/>
          <w:szCs w:val="26"/>
          <w:lang w:val="es-MX"/>
        </w:rPr>
        <w:t>o</w:t>
      </w:r>
      <w:r w:rsidR="000F43B4">
        <w:rPr>
          <w:rFonts w:ascii="Arial" w:hAnsi="Arial" w:cs="Arial"/>
          <w:sz w:val="26"/>
          <w:szCs w:val="26"/>
          <w:lang w:val="es-MX"/>
        </w:rPr>
        <w:t xml:space="preserve"> el 1</w:t>
      </w:r>
      <w:r w:rsidR="002F2059">
        <w:rPr>
          <w:rFonts w:ascii="Arial" w:hAnsi="Arial" w:cs="Arial"/>
          <w:sz w:val="26"/>
          <w:szCs w:val="26"/>
          <w:lang w:val="es-MX"/>
        </w:rPr>
        <w:t xml:space="preserve">6 dieciséis </w:t>
      </w:r>
      <w:r w:rsidR="000F43B4">
        <w:rPr>
          <w:rFonts w:ascii="Arial" w:hAnsi="Arial" w:cs="Arial"/>
          <w:sz w:val="26"/>
          <w:szCs w:val="26"/>
          <w:lang w:val="es-MX"/>
        </w:rPr>
        <w:t xml:space="preserve">de </w:t>
      </w:r>
      <w:r w:rsidR="002F2059">
        <w:rPr>
          <w:rFonts w:ascii="Arial" w:hAnsi="Arial" w:cs="Arial"/>
          <w:sz w:val="26"/>
          <w:szCs w:val="26"/>
          <w:lang w:val="es-MX"/>
        </w:rPr>
        <w:t>enero</w:t>
      </w:r>
      <w:r w:rsidR="008B350F">
        <w:rPr>
          <w:rFonts w:ascii="Arial" w:hAnsi="Arial" w:cs="Arial"/>
          <w:sz w:val="26"/>
          <w:szCs w:val="26"/>
          <w:lang w:val="es-MX"/>
        </w:rPr>
        <w:t xml:space="preserve"> del 201</w:t>
      </w:r>
      <w:r w:rsidR="002F2059">
        <w:rPr>
          <w:rFonts w:ascii="Arial" w:hAnsi="Arial" w:cs="Arial"/>
          <w:sz w:val="26"/>
          <w:szCs w:val="26"/>
          <w:lang w:val="es-MX"/>
        </w:rPr>
        <w:t>8</w:t>
      </w:r>
      <w:r w:rsidR="008B350F">
        <w:rPr>
          <w:rFonts w:ascii="Arial" w:hAnsi="Arial" w:cs="Arial"/>
          <w:sz w:val="26"/>
          <w:szCs w:val="26"/>
          <w:lang w:val="es-MX"/>
        </w:rPr>
        <w:t xml:space="preserve"> dos mil </w:t>
      </w:r>
      <w:r w:rsidR="002F2059">
        <w:rPr>
          <w:rFonts w:ascii="Arial" w:hAnsi="Arial" w:cs="Arial"/>
          <w:sz w:val="26"/>
          <w:szCs w:val="26"/>
          <w:lang w:val="es-MX"/>
        </w:rPr>
        <w:t>dieciocho</w:t>
      </w:r>
      <w:r w:rsidR="008B350F">
        <w:rPr>
          <w:rFonts w:ascii="Arial" w:hAnsi="Arial" w:cs="Arial"/>
          <w:sz w:val="26"/>
          <w:szCs w:val="26"/>
          <w:lang w:val="es-MX"/>
        </w:rPr>
        <w:t xml:space="preserve">, </w:t>
      </w:r>
      <w:r w:rsidR="002F2059">
        <w:rPr>
          <w:rFonts w:ascii="Arial" w:hAnsi="Arial" w:cs="Arial"/>
          <w:sz w:val="26"/>
          <w:szCs w:val="26"/>
          <w:lang w:val="es-MX"/>
        </w:rPr>
        <w:t>mismo</w:t>
      </w:r>
      <w:r w:rsidR="002E28EB">
        <w:rPr>
          <w:rFonts w:ascii="Arial" w:hAnsi="Arial" w:cs="Arial"/>
          <w:sz w:val="26"/>
          <w:szCs w:val="26"/>
          <w:lang w:val="es-MX"/>
        </w:rPr>
        <w:t xml:space="preserve"> </w:t>
      </w:r>
      <w:r w:rsidR="008B350F">
        <w:rPr>
          <w:rFonts w:ascii="Arial" w:hAnsi="Arial" w:cs="Arial"/>
          <w:sz w:val="26"/>
          <w:szCs w:val="26"/>
          <w:lang w:val="es-MX"/>
        </w:rPr>
        <w:t>que le fue notificad</w:t>
      </w:r>
      <w:r w:rsidR="002F2059">
        <w:rPr>
          <w:rFonts w:ascii="Arial" w:hAnsi="Arial" w:cs="Arial"/>
          <w:sz w:val="26"/>
          <w:szCs w:val="26"/>
          <w:lang w:val="es-MX"/>
        </w:rPr>
        <w:t>o</w:t>
      </w:r>
      <w:r w:rsidR="008B350F">
        <w:rPr>
          <w:rFonts w:ascii="Arial" w:hAnsi="Arial" w:cs="Arial"/>
          <w:sz w:val="26"/>
          <w:szCs w:val="26"/>
          <w:lang w:val="es-MX"/>
        </w:rPr>
        <w:t xml:space="preserve"> a</w:t>
      </w:r>
      <w:r w:rsidR="00976EAD">
        <w:rPr>
          <w:rFonts w:ascii="Arial" w:hAnsi="Arial" w:cs="Arial"/>
          <w:sz w:val="26"/>
          <w:szCs w:val="26"/>
          <w:lang w:val="es-MX"/>
        </w:rPr>
        <w:t>l recurrente</w:t>
      </w:r>
      <w:r w:rsidR="008B350F">
        <w:rPr>
          <w:rFonts w:ascii="Arial" w:hAnsi="Arial" w:cs="Arial"/>
          <w:sz w:val="26"/>
          <w:szCs w:val="26"/>
          <w:lang w:val="es-MX"/>
        </w:rPr>
        <w:t xml:space="preserve"> el </w:t>
      </w:r>
      <w:r w:rsidR="002F2059">
        <w:rPr>
          <w:rFonts w:ascii="Arial" w:hAnsi="Arial" w:cs="Arial"/>
          <w:sz w:val="26"/>
          <w:szCs w:val="26"/>
          <w:lang w:val="es-MX"/>
        </w:rPr>
        <w:t xml:space="preserve">martes </w:t>
      </w:r>
      <w:r w:rsidR="00A00689">
        <w:rPr>
          <w:rFonts w:ascii="Arial" w:hAnsi="Arial" w:cs="Arial"/>
          <w:sz w:val="26"/>
          <w:szCs w:val="26"/>
          <w:lang w:val="es-MX"/>
        </w:rPr>
        <w:t xml:space="preserve">13 </w:t>
      </w:r>
      <w:r w:rsidR="002F2059">
        <w:rPr>
          <w:rFonts w:ascii="Arial" w:hAnsi="Arial" w:cs="Arial"/>
          <w:sz w:val="26"/>
          <w:szCs w:val="26"/>
          <w:lang w:val="es-MX"/>
        </w:rPr>
        <w:t>trece</w:t>
      </w:r>
      <w:r w:rsidR="008B350F">
        <w:rPr>
          <w:rFonts w:ascii="Arial" w:hAnsi="Arial" w:cs="Arial"/>
          <w:sz w:val="26"/>
          <w:szCs w:val="26"/>
          <w:lang w:val="es-MX"/>
        </w:rPr>
        <w:t xml:space="preserve"> de </w:t>
      </w:r>
      <w:r w:rsidR="004F1561">
        <w:rPr>
          <w:rFonts w:ascii="Arial" w:hAnsi="Arial" w:cs="Arial"/>
          <w:sz w:val="26"/>
          <w:szCs w:val="26"/>
          <w:lang w:val="es-MX"/>
        </w:rPr>
        <w:t>ma</w:t>
      </w:r>
      <w:r w:rsidR="002F2059">
        <w:rPr>
          <w:rFonts w:ascii="Arial" w:hAnsi="Arial" w:cs="Arial"/>
          <w:sz w:val="26"/>
          <w:szCs w:val="26"/>
          <w:lang w:val="es-MX"/>
        </w:rPr>
        <w:t>rz</w:t>
      </w:r>
      <w:r w:rsidR="004F1561">
        <w:rPr>
          <w:rFonts w:ascii="Arial" w:hAnsi="Arial" w:cs="Arial"/>
          <w:sz w:val="26"/>
          <w:szCs w:val="26"/>
          <w:lang w:val="es-MX"/>
        </w:rPr>
        <w:t>o</w:t>
      </w:r>
      <w:r w:rsidR="008B350F">
        <w:rPr>
          <w:rFonts w:ascii="Arial" w:hAnsi="Arial" w:cs="Arial"/>
          <w:sz w:val="26"/>
          <w:szCs w:val="26"/>
          <w:lang w:val="es-MX"/>
        </w:rPr>
        <w:t xml:space="preserve"> del 201</w:t>
      </w:r>
      <w:r w:rsidR="002F2059">
        <w:rPr>
          <w:rFonts w:ascii="Arial" w:hAnsi="Arial" w:cs="Arial"/>
          <w:sz w:val="26"/>
          <w:szCs w:val="26"/>
          <w:lang w:val="es-MX"/>
        </w:rPr>
        <w:t>8 dos mil dieciocho</w:t>
      </w:r>
      <w:r w:rsidR="00DD3B1B">
        <w:rPr>
          <w:rFonts w:ascii="Arial" w:hAnsi="Arial" w:cs="Arial"/>
          <w:sz w:val="26"/>
          <w:szCs w:val="26"/>
          <w:lang w:val="es-MX"/>
        </w:rPr>
        <w:t>,</w:t>
      </w:r>
      <w:r w:rsidR="008B350F" w:rsidRPr="008B350F">
        <w:rPr>
          <w:rFonts w:ascii="Arial" w:hAnsi="Arial" w:cs="Arial"/>
          <w:sz w:val="26"/>
          <w:szCs w:val="26"/>
          <w:lang w:val="es-MX"/>
        </w:rPr>
        <w:t xml:space="preserve"> </w:t>
      </w:r>
      <w:r w:rsidR="008B350F">
        <w:rPr>
          <w:rFonts w:ascii="Arial" w:hAnsi="Arial" w:cs="Arial"/>
          <w:sz w:val="26"/>
          <w:szCs w:val="26"/>
          <w:lang w:val="es-MX"/>
        </w:rPr>
        <w:t>según consta en l</w:t>
      </w:r>
      <w:r w:rsidR="002F2059">
        <w:rPr>
          <w:rFonts w:ascii="Arial" w:hAnsi="Arial" w:cs="Arial"/>
          <w:sz w:val="26"/>
          <w:szCs w:val="26"/>
          <w:lang w:val="es-MX"/>
        </w:rPr>
        <w:t xml:space="preserve">a razón de notificación por instructivo, misma fecha que refiere la ahora recurrente en su escrito de expresión de </w:t>
      </w:r>
      <w:r w:rsidR="008B350F">
        <w:rPr>
          <w:rFonts w:ascii="Arial" w:hAnsi="Arial" w:cs="Arial"/>
          <w:sz w:val="26"/>
          <w:szCs w:val="26"/>
          <w:lang w:val="es-MX"/>
        </w:rPr>
        <w:t>a</w:t>
      </w:r>
      <w:r w:rsidR="002F2059">
        <w:rPr>
          <w:rFonts w:ascii="Arial" w:hAnsi="Arial" w:cs="Arial"/>
          <w:sz w:val="26"/>
          <w:szCs w:val="26"/>
          <w:lang w:val="es-MX"/>
        </w:rPr>
        <w:t>gravios</w:t>
      </w:r>
      <w:r w:rsidR="00E80C96">
        <w:rPr>
          <w:rFonts w:ascii="Arial" w:hAnsi="Arial" w:cs="Arial"/>
          <w:sz w:val="26"/>
          <w:szCs w:val="26"/>
          <w:lang w:val="es-MX"/>
        </w:rPr>
        <w:t>;</w:t>
      </w:r>
      <w:r w:rsidR="00DD3B1B">
        <w:rPr>
          <w:rFonts w:ascii="Arial" w:hAnsi="Arial" w:cs="Arial"/>
          <w:sz w:val="26"/>
          <w:szCs w:val="26"/>
          <w:lang w:val="es-MX"/>
        </w:rPr>
        <w:t xml:space="preserve"> </w:t>
      </w:r>
      <w:r w:rsidR="00244920">
        <w:rPr>
          <w:rFonts w:ascii="Arial" w:hAnsi="Arial" w:cs="Arial"/>
          <w:sz w:val="26"/>
          <w:szCs w:val="26"/>
          <w:lang w:val="es-MX"/>
        </w:rPr>
        <w:t>se advierte</w:t>
      </w:r>
      <w:r w:rsidR="002E28EB">
        <w:rPr>
          <w:rFonts w:ascii="Arial" w:hAnsi="Arial" w:cs="Arial"/>
          <w:sz w:val="26"/>
          <w:szCs w:val="26"/>
          <w:lang w:val="es-MX"/>
        </w:rPr>
        <w:t xml:space="preserve"> que </w:t>
      </w:r>
      <w:r w:rsidR="00BF5C2C">
        <w:rPr>
          <w:rFonts w:ascii="Arial" w:hAnsi="Arial" w:cs="Arial"/>
          <w:sz w:val="26"/>
          <w:szCs w:val="26"/>
          <w:lang w:val="es-MX"/>
        </w:rPr>
        <w:t xml:space="preserve">el presente recurso de revisión </w:t>
      </w:r>
      <w:r w:rsidR="002E28EB">
        <w:rPr>
          <w:rFonts w:ascii="Arial" w:hAnsi="Arial" w:cs="Arial"/>
          <w:sz w:val="26"/>
          <w:szCs w:val="26"/>
          <w:lang w:val="es-MX"/>
        </w:rPr>
        <w:t xml:space="preserve">se interpuso </w:t>
      </w:r>
      <w:r w:rsidR="00847DC2">
        <w:rPr>
          <w:rFonts w:ascii="Arial" w:hAnsi="Arial" w:cs="Arial"/>
          <w:sz w:val="26"/>
          <w:szCs w:val="26"/>
          <w:lang w:val="es-MX"/>
        </w:rPr>
        <w:t xml:space="preserve">el </w:t>
      </w:r>
      <w:r w:rsidR="00244920">
        <w:rPr>
          <w:rFonts w:ascii="Arial" w:hAnsi="Arial" w:cs="Arial"/>
          <w:sz w:val="26"/>
          <w:szCs w:val="26"/>
          <w:lang w:val="es-MX"/>
        </w:rPr>
        <w:t>lunes 9</w:t>
      </w:r>
      <w:r w:rsidR="0079301F">
        <w:rPr>
          <w:rFonts w:ascii="Arial" w:hAnsi="Arial" w:cs="Arial"/>
          <w:sz w:val="26"/>
          <w:szCs w:val="26"/>
          <w:lang w:val="es-MX"/>
        </w:rPr>
        <w:t xml:space="preserve"> </w:t>
      </w:r>
      <w:r w:rsidR="00244920">
        <w:rPr>
          <w:rFonts w:ascii="Arial" w:hAnsi="Arial" w:cs="Arial"/>
          <w:sz w:val="26"/>
          <w:szCs w:val="26"/>
          <w:lang w:val="es-MX"/>
        </w:rPr>
        <w:t>nueve</w:t>
      </w:r>
      <w:r w:rsidR="00BF5C2C">
        <w:rPr>
          <w:rFonts w:ascii="Arial" w:hAnsi="Arial" w:cs="Arial"/>
          <w:sz w:val="26"/>
          <w:szCs w:val="26"/>
          <w:lang w:val="es-MX"/>
        </w:rPr>
        <w:t xml:space="preserve"> de </w:t>
      </w:r>
      <w:r w:rsidR="004F1561">
        <w:rPr>
          <w:rFonts w:ascii="Arial" w:hAnsi="Arial" w:cs="Arial"/>
          <w:sz w:val="26"/>
          <w:szCs w:val="26"/>
          <w:lang w:val="es-MX"/>
        </w:rPr>
        <w:t>a</w:t>
      </w:r>
      <w:r w:rsidR="00244920">
        <w:rPr>
          <w:rFonts w:ascii="Arial" w:hAnsi="Arial" w:cs="Arial"/>
          <w:sz w:val="26"/>
          <w:szCs w:val="26"/>
          <w:lang w:val="es-MX"/>
        </w:rPr>
        <w:t>bril</w:t>
      </w:r>
      <w:r w:rsidR="00BF5C2C">
        <w:rPr>
          <w:rFonts w:ascii="Arial" w:hAnsi="Arial" w:cs="Arial"/>
          <w:sz w:val="26"/>
          <w:szCs w:val="26"/>
          <w:lang w:val="es-MX"/>
        </w:rPr>
        <w:t xml:space="preserve"> de 20</w:t>
      </w:r>
      <w:r w:rsidR="004157DF">
        <w:rPr>
          <w:rFonts w:ascii="Arial" w:hAnsi="Arial" w:cs="Arial"/>
          <w:sz w:val="26"/>
          <w:szCs w:val="26"/>
          <w:lang w:val="es-MX"/>
        </w:rPr>
        <w:t>1</w:t>
      </w:r>
      <w:r w:rsidR="00244920">
        <w:rPr>
          <w:rFonts w:ascii="Arial" w:hAnsi="Arial" w:cs="Arial"/>
          <w:sz w:val="26"/>
          <w:szCs w:val="26"/>
          <w:lang w:val="es-MX"/>
        </w:rPr>
        <w:t>8</w:t>
      </w:r>
      <w:r w:rsidR="00847DC2">
        <w:rPr>
          <w:rFonts w:ascii="Arial" w:hAnsi="Arial" w:cs="Arial"/>
          <w:sz w:val="26"/>
          <w:szCs w:val="26"/>
          <w:lang w:val="es-MX"/>
        </w:rPr>
        <w:t xml:space="preserve"> dos mil </w:t>
      </w:r>
      <w:r w:rsidR="00244920">
        <w:rPr>
          <w:rFonts w:ascii="Arial" w:hAnsi="Arial" w:cs="Arial"/>
          <w:sz w:val="26"/>
          <w:szCs w:val="26"/>
          <w:lang w:val="es-MX"/>
        </w:rPr>
        <w:t>dieciocho</w:t>
      </w:r>
      <w:r w:rsidR="00847DC2">
        <w:rPr>
          <w:rFonts w:ascii="Arial" w:hAnsi="Arial" w:cs="Arial"/>
          <w:sz w:val="26"/>
          <w:szCs w:val="26"/>
          <w:lang w:val="es-MX"/>
        </w:rPr>
        <w:t>,</w:t>
      </w:r>
      <w:r w:rsidR="00AC6F40">
        <w:rPr>
          <w:rFonts w:ascii="Arial" w:hAnsi="Arial" w:cs="Arial"/>
          <w:sz w:val="26"/>
          <w:szCs w:val="26"/>
          <w:lang w:val="es-MX"/>
        </w:rPr>
        <w:t xml:space="preserve"> incumplié</w:t>
      </w:r>
      <w:r w:rsidR="008B350F">
        <w:rPr>
          <w:rFonts w:ascii="Arial" w:hAnsi="Arial" w:cs="Arial"/>
          <w:sz w:val="26"/>
          <w:szCs w:val="26"/>
          <w:lang w:val="es-MX"/>
        </w:rPr>
        <w:t>ndo</w:t>
      </w:r>
      <w:r w:rsidR="002E28EB">
        <w:rPr>
          <w:rFonts w:ascii="Arial" w:hAnsi="Arial" w:cs="Arial"/>
          <w:sz w:val="26"/>
          <w:szCs w:val="26"/>
          <w:lang w:val="es-MX"/>
        </w:rPr>
        <w:t>se</w:t>
      </w:r>
      <w:r w:rsidR="008B350F">
        <w:rPr>
          <w:rFonts w:ascii="Arial" w:hAnsi="Arial" w:cs="Arial"/>
          <w:sz w:val="26"/>
          <w:szCs w:val="26"/>
          <w:lang w:val="es-MX"/>
        </w:rPr>
        <w:t xml:space="preserve"> con lo dispuesto por el artículo </w:t>
      </w:r>
      <w:r w:rsidR="00E53EFE">
        <w:rPr>
          <w:rFonts w:ascii="Arial" w:hAnsi="Arial" w:cs="Arial"/>
          <w:sz w:val="26"/>
          <w:szCs w:val="26"/>
          <w:lang w:val="es-MX"/>
        </w:rPr>
        <w:t>23</w:t>
      </w:r>
      <w:r w:rsidR="008B350F" w:rsidRPr="00E53EFE">
        <w:rPr>
          <w:rFonts w:ascii="Arial" w:hAnsi="Arial" w:cs="Arial"/>
          <w:sz w:val="26"/>
          <w:szCs w:val="26"/>
          <w:lang w:val="es-MX"/>
        </w:rPr>
        <w:t>7</w:t>
      </w:r>
      <w:r w:rsidR="008B350F">
        <w:rPr>
          <w:rFonts w:ascii="Arial" w:hAnsi="Arial" w:cs="Arial"/>
          <w:sz w:val="26"/>
          <w:szCs w:val="26"/>
          <w:lang w:val="es-MX"/>
        </w:rPr>
        <w:t xml:space="preserve"> de la Ley de </w:t>
      </w:r>
      <w:r w:rsidR="0098302C">
        <w:rPr>
          <w:rFonts w:ascii="Arial" w:hAnsi="Arial" w:cs="Arial"/>
          <w:sz w:val="26"/>
          <w:szCs w:val="26"/>
          <w:lang w:val="es-MX"/>
        </w:rPr>
        <w:t xml:space="preserve">Procedimiento y </w:t>
      </w:r>
      <w:r w:rsidR="008B350F">
        <w:rPr>
          <w:rFonts w:ascii="Arial" w:hAnsi="Arial" w:cs="Arial"/>
          <w:sz w:val="26"/>
          <w:szCs w:val="26"/>
          <w:lang w:val="es-MX"/>
        </w:rPr>
        <w:t>Justicia Administrativa para el Estado de Oaxaca.</w:t>
      </w:r>
    </w:p>
    <w:p w:rsidR="007C24D5" w:rsidRDefault="008B350F" w:rsidP="005F19BA">
      <w:pPr>
        <w:spacing w:line="360" w:lineRule="auto"/>
        <w:ind w:firstLine="708"/>
        <w:jc w:val="both"/>
        <w:rPr>
          <w:rFonts w:ascii="Arial" w:hAnsi="Arial" w:cs="Arial"/>
          <w:sz w:val="26"/>
          <w:szCs w:val="26"/>
          <w:lang w:val="es-MX"/>
        </w:rPr>
      </w:pPr>
      <w:r>
        <w:rPr>
          <w:rFonts w:ascii="Arial" w:hAnsi="Arial" w:cs="Arial"/>
          <w:sz w:val="26"/>
          <w:szCs w:val="26"/>
          <w:lang w:val="es-MX"/>
        </w:rPr>
        <w:t>E</w:t>
      </w:r>
      <w:r w:rsidR="00244920">
        <w:rPr>
          <w:rFonts w:ascii="Arial" w:hAnsi="Arial" w:cs="Arial"/>
          <w:sz w:val="26"/>
          <w:szCs w:val="26"/>
          <w:lang w:val="es-MX"/>
        </w:rPr>
        <w:t xml:space="preserve">s así, dado que </w:t>
      </w:r>
      <w:r>
        <w:rPr>
          <w:rFonts w:ascii="Arial" w:hAnsi="Arial" w:cs="Arial"/>
          <w:sz w:val="26"/>
          <w:szCs w:val="26"/>
          <w:lang w:val="es-MX"/>
        </w:rPr>
        <w:t xml:space="preserve">el artículo </w:t>
      </w:r>
      <w:r w:rsidRPr="00E53EFE">
        <w:rPr>
          <w:rFonts w:ascii="Arial" w:hAnsi="Arial" w:cs="Arial"/>
          <w:sz w:val="26"/>
          <w:szCs w:val="26"/>
          <w:lang w:val="es-MX"/>
        </w:rPr>
        <w:t>2</w:t>
      </w:r>
      <w:r w:rsidR="00E53EFE">
        <w:rPr>
          <w:rFonts w:ascii="Arial" w:hAnsi="Arial" w:cs="Arial"/>
          <w:sz w:val="26"/>
          <w:szCs w:val="26"/>
          <w:lang w:val="es-MX"/>
        </w:rPr>
        <w:t>3</w:t>
      </w:r>
      <w:r w:rsidRPr="00E53EFE">
        <w:rPr>
          <w:rFonts w:ascii="Arial" w:hAnsi="Arial" w:cs="Arial"/>
          <w:sz w:val="26"/>
          <w:szCs w:val="26"/>
          <w:lang w:val="es-MX"/>
        </w:rPr>
        <w:t>7</w:t>
      </w:r>
      <w:r>
        <w:rPr>
          <w:rFonts w:ascii="Arial" w:hAnsi="Arial" w:cs="Arial"/>
          <w:sz w:val="26"/>
          <w:szCs w:val="26"/>
          <w:lang w:val="es-MX"/>
        </w:rPr>
        <w:t xml:space="preserve"> de la Ley de </w:t>
      </w:r>
      <w:r w:rsidR="0098302C">
        <w:rPr>
          <w:rFonts w:ascii="Arial" w:hAnsi="Arial" w:cs="Arial"/>
          <w:sz w:val="26"/>
          <w:szCs w:val="26"/>
          <w:lang w:val="es-MX"/>
        </w:rPr>
        <w:t>la materia</w:t>
      </w:r>
      <w:r>
        <w:rPr>
          <w:rFonts w:ascii="Arial" w:hAnsi="Arial" w:cs="Arial"/>
          <w:sz w:val="26"/>
          <w:szCs w:val="26"/>
          <w:lang w:val="es-MX"/>
        </w:rPr>
        <w:t>, establece que el recurso de revisión se interpondrá dentro de los cinco días siguientes a la notificación del</w:t>
      </w:r>
      <w:r w:rsidR="00244920">
        <w:rPr>
          <w:rFonts w:ascii="Arial" w:hAnsi="Arial" w:cs="Arial"/>
          <w:sz w:val="26"/>
          <w:szCs w:val="26"/>
          <w:lang w:val="es-MX"/>
        </w:rPr>
        <w:t xml:space="preserve"> </w:t>
      </w:r>
      <w:r>
        <w:rPr>
          <w:rFonts w:ascii="Arial" w:hAnsi="Arial" w:cs="Arial"/>
          <w:sz w:val="26"/>
          <w:szCs w:val="26"/>
          <w:lang w:val="es-MX"/>
        </w:rPr>
        <w:t>a</w:t>
      </w:r>
      <w:r w:rsidR="00244920">
        <w:rPr>
          <w:rFonts w:ascii="Arial" w:hAnsi="Arial" w:cs="Arial"/>
          <w:sz w:val="26"/>
          <w:szCs w:val="26"/>
          <w:lang w:val="es-MX"/>
        </w:rPr>
        <w:t>cuerdo o</w:t>
      </w:r>
      <w:r>
        <w:rPr>
          <w:rFonts w:ascii="Arial" w:hAnsi="Arial" w:cs="Arial"/>
          <w:sz w:val="26"/>
          <w:szCs w:val="26"/>
          <w:lang w:val="es-MX"/>
        </w:rPr>
        <w:t xml:space="preserve"> resolución recurrida, y en el presente caso </w:t>
      </w:r>
      <w:r w:rsidR="00244920">
        <w:rPr>
          <w:rFonts w:ascii="Arial" w:hAnsi="Arial" w:cs="Arial"/>
          <w:sz w:val="26"/>
          <w:szCs w:val="26"/>
          <w:lang w:val="es-MX"/>
        </w:rPr>
        <w:t>e</w:t>
      </w:r>
      <w:r>
        <w:rPr>
          <w:rFonts w:ascii="Arial" w:hAnsi="Arial" w:cs="Arial"/>
          <w:sz w:val="26"/>
          <w:szCs w:val="26"/>
          <w:lang w:val="es-MX"/>
        </w:rPr>
        <w:t>l</w:t>
      </w:r>
      <w:r w:rsidR="00244920">
        <w:rPr>
          <w:rFonts w:ascii="Arial" w:hAnsi="Arial" w:cs="Arial"/>
          <w:sz w:val="26"/>
          <w:szCs w:val="26"/>
          <w:lang w:val="es-MX"/>
        </w:rPr>
        <w:t xml:space="preserve"> </w:t>
      </w:r>
      <w:r>
        <w:rPr>
          <w:rFonts w:ascii="Arial" w:hAnsi="Arial" w:cs="Arial"/>
          <w:sz w:val="26"/>
          <w:szCs w:val="26"/>
          <w:lang w:val="es-MX"/>
        </w:rPr>
        <w:t>a</w:t>
      </w:r>
      <w:r w:rsidR="00244920">
        <w:rPr>
          <w:rFonts w:ascii="Arial" w:hAnsi="Arial" w:cs="Arial"/>
          <w:sz w:val="26"/>
          <w:szCs w:val="26"/>
          <w:lang w:val="es-MX"/>
        </w:rPr>
        <w:t>cuerdo</w:t>
      </w:r>
      <w:r>
        <w:rPr>
          <w:rFonts w:ascii="Arial" w:hAnsi="Arial" w:cs="Arial"/>
          <w:sz w:val="26"/>
          <w:szCs w:val="26"/>
          <w:lang w:val="es-MX"/>
        </w:rPr>
        <w:t xml:space="preserve"> que se combate se notificó a</w:t>
      </w:r>
      <w:r w:rsidR="00244920">
        <w:rPr>
          <w:rFonts w:ascii="Arial" w:hAnsi="Arial" w:cs="Arial"/>
          <w:sz w:val="26"/>
          <w:szCs w:val="26"/>
          <w:lang w:val="es-MX"/>
        </w:rPr>
        <w:t xml:space="preserve"> </w:t>
      </w:r>
      <w:r>
        <w:rPr>
          <w:rFonts w:ascii="Arial" w:hAnsi="Arial" w:cs="Arial"/>
          <w:sz w:val="26"/>
          <w:szCs w:val="26"/>
          <w:lang w:val="es-MX"/>
        </w:rPr>
        <w:t>l</w:t>
      </w:r>
      <w:r w:rsidR="00244920">
        <w:rPr>
          <w:rFonts w:ascii="Arial" w:hAnsi="Arial" w:cs="Arial"/>
          <w:sz w:val="26"/>
          <w:szCs w:val="26"/>
          <w:lang w:val="es-MX"/>
        </w:rPr>
        <w:t>a</w:t>
      </w:r>
      <w:r>
        <w:rPr>
          <w:rFonts w:ascii="Arial" w:hAnsi="Arial" w:cs="Arial"/>
          <w:sz w:val="26"/>
          <w:szCs w:val="26"/>
          <w:lang w:val="es-MX"/>
        </w:rPr>
        <w:t xml:space="preserve"> recurrente el </w:t>
      </w:r>
      <w:r w:rsidR="004F1561">
        <w:rPr>
          <w:rFonts w:ascii="Arial" w:hAnsi="Arial" w:cs="Arial"/>
          <w:sz w:val="26"/>
          <w:szCs w:val="26"/>
          <w:lang w:val="es-MX"/>
        </w:rPr>
        <w:t>m</w:t>
      </w:r>
      <w:r w:rsidR="00244920">
        <w:rPr>
          <w:rFonts w:ascii="Arial" w:hAnsi="Arial" w:cs="Arial"/>
          <w:sz w:val="26"/>
          <w:szCs w:val="26"/>
          <w:lang w:val="es-MX"/>
        </w:rPr>
        <w:t xml:space="preserve">artes </w:t>
      </w:r>
      <w:r w:rsidR="004F1561">
        <w:rPr>
          <w:rFonts w:ascii="Arial" w:hAnsi="Arial" w:cs="Arial"/>
          <w:sz w:val="26"/>
          <w:szCs w:val="26"/>
          <w:lang w:val="es-MX"/>
        </w:rPr>
        <w:t>1</w:t>
      </w:r>
      <w:r w:rsidR="00244920">
        <w:rPr>
          <w:rFonts w:ascii="Arial" w:hAnsi="Arial" w:cs="Arial"/>
          <w:sz w:val="26"/>
          <w:szCs w:val="26"/>
          <w:lang w:val="es-MX"/>
        </w:rPr>
        <w:t>3</w:t>
      </w:r>
      <w:r>
        <w:rPr>
          <w:rFonts w:ascii="Arial" w:hAnsi="Arial" w:cs="Arial"/>
          <w:sz w:val="26"/>
          <w:szCs w:val="26"/>
          <w:lang w:val="es-MX"/>
        </w:rPr>
        <w:t xml:space="preserve"> </w:t>
      </w:r>
      <w:r w:rsidR="00244920">
        <w:rPr>
          <w:rFonts w:ascii="Arial" w:hAnsi="Arial" w:cs="Arial"/>
          <w:sz w:val="26"/>
          <w:szCs w:val="26"/>
          <w:lang w:val="es-MX"/>
        </w:rPr>
        <w:t>trece</w:t>
      </w:r>
      <w:r>
        <w:rPr>
          <w:rFonts w:ascii="Arial" w:hAnsi="Arial" w:cs="Arial"/>
          <w:sz w:val="26"/>
          <w:szCs w:val="26"/>
          <w:lang w:val="es-MX"/>
        </w:rPr>
        <w:t xml:space="preserve"> de </w:t>
      </w:r>
      <w:r w:rsidR="004F1561">
        <w:rPr>
          <w:rFonts w:ascii="Arial" w:hAnsi="Arial" w:cs="Arial"/>
          <w:sz w:val="26"/>
          <w:szCs w:val="26"/>
          <w:lang w:val="es-MX"/>
        </w:rPr>
        <w:t>ma</w:t>
      </w:r>
      <w:r w:rsidR="00244920">
        <w:rPr>
          <w:rFonts w:ascii="Arial" w:hAnsi="Arial" w:cs="Arial"/>
          <w:sz w:val="26"/>
          <w:szCs w:val="26"/>
          <w:lang w:val="es-MX"/>
        </w:rPr>
        <w:t>rz</w:t>
      </w:r>
      <w:r w:rsidR="004F1561">
        <w:rPr>
          <w:rFonts w:ascii="Arial" w:hAnsi="Arial" w:cs="Arial"/>
          <w:sz w:val="26"/>
          <w:szCs w:val="26"/>
          <w:lang w:val="es-MX"/>
        </w:rPr>
        <w:t>o</w:t>
      </w:r>
      <w:r>
        <w:rPr>
          <w:rFonts w:ascii="Arial" w:hAnsi="Arial" w:cs="Arial"/>
          <w:sz w:val="26"/>
          <w:szCs w:val="26"/>
          <w:lang w:val="es-MX"/>
        </w:rPr>
        <w:t xml:space="preserve"> de 201</w:t>
      </w:r>
      <w:r w:rsidR="00244920">
        <w:rPr>
          <w:rFonts w:ascii="Arial" w:hAnsi="Arial" w:cs="Arial"/>
          <w:sz w:val="26"/>
          <w:szCs w:val="26"/>
          <w:lang w:val="es-MX"/>
        </w:rPr>
        <w:t>8</w:t>
      </w:r>
      <w:r>
        <w:rPr>
          <w:rFonts w:ascii="Arial" w:hAnsi="Arial" w:cs="Arial"/>
          <w:sz w:val="26"/>
          <w:szCs w:val="26"/>
          <w:lang w:val="es-MX"/>
        </w:rPr>
        <w:t xml:space="preserve"> dos mil </w:t>
      </w:r>
      <w:r w:rsidR="00244920">
        <w:rPr>
          <w:rFonts w:ascii="Arial" w:hAnsi="Arial" w:cs="Arial"/>
          <w:sz w:val="26"/>
          <w:szCs w:val="26"/>
          <w:lang w:val="es-MX"/>
        </w:rPr>
        <w:t>dieciocho</w:t>
      </w:r>
      <w:r>
        <w:rPr>
          <w:rFonts w:ascii="Arial" w:hAnsi="Arial" w:cs="Arial"/>
          <w:sz w:val="26"/>
          <w:szCs w:val="26"/>
          <w:lang w:val="es-MX"/>
        </w:rPr>
        <w:t xml:space="preserve">, </w:t>
      </w:r>
      <w:r w:rsidR="005179A3">
        <w:rPr>
          <w:rFonts w:ascii="Arial" w:hAnsi="Arial" w:cs="Arial"/>
          <w:sz w:val="26"/>
          <w:szCs w:val="26"/>
          <w:lang w:val="es-MX"/>
        </w:rPr>
        <w:t xml:space="preserve">surtiendo efectos </w:t>
      </w:r>
      <w:r w:rsidR="00244920">
        <w:rPr>
          <w:rFonts w:ascii="Arial" w:hAnsi="Arial" w:cs="Arial"/>
          <w:sz w:val="26"/>
          <w:szCs w:val="26"/>
          <w:lang w:val="es-MX"/>
        </w:rPr>
        <w:t xml:space="preserve">la notificación </w:t>
      </w:r>
      <w:r w:rsidR="005179A3">
        <w:rPr>
          <w:rFonts w:ascii="Arial" w:hAnsi="Arial" w:cs="Arial"/>
          <w:sz w:val="26"/>
          <w:szCs w:val="26"/>
          <w:lang w:val="es-MX"/>
        </w:rPr>
        <w:t xml:space="preserve">el </w:t>
      </w:r>
      <w:r w:rsidR="00244920">
        <w:rPr>
          <w:rFonts w:ascii="Arial" w:hAnsi="Arial" w:cs="Arial"/>
          <w:sz w:val="26"/>
          <w:szCs w:val="26"/>
          <w:lang w:val="es-MX"/>
        </w:rPr>
        <w:t>miércoles 14 catorce de marzo</w:t>
      </w:r>
      <w:r w:rsidR="005179A3">
        <w:rPr>
          <w:rFonts w:ascii="Arial" w:hAnsi="Arial" w:cs="Arial"/>
          <w:sz w:val="26"/>
          <w:szCs w:val="26"/>
          <w:lang w:val="es-MX"/>
        </w:rPr>
        <w:t xml:space="preserve">, </w:t>
      </w:r>
      <w:r w:rsidR="00244920">
        <w:rPr>
          <w:rFonts w:ascii="Arial" w:hAnsi="Arial" w:cs="Arial"/>
          <w:sz w:val="26"/>
          <w:szCs w:val="26"/>
          <w:lang w:val="es-MX"/>
        </w:rPr>
        <w:t>a</w:t>
      </w:r>
      <w:r w:rsidR="005179A3">
        <w:rPr>
          <w:rFonts w:ascii="Arial" w:hAnsi="Arial" w:cs="Arial"/>
          <w:sz w:val="26"/>
          <w:szCs w:val="26"/>
          <w:lang w:val="es-MX"/>
        </w:rPr>
        <w:t>co</w:t>
      </w:r>
      <w:r w:rsidR="00244920">
        <w:rPr>
          <w:rFonts w:ascii="Arial" w:hAnsi="Arial" w:cs="Arial"/>
          <w:sz w:val="26"/>
          <w:szCs w:val="26"/>
          <w:lang w:val="es-MX"/>
        </w:rPr>
        <w:t>rde</w:t>
      </w:r>
      <w:r w:rsidR="005179A3">
        <w:rPr>
          <w:rFonts w:ascii="Arial" w:hAnsi="Arial" w:cs="Arial"/>
          <w:sz w:val="26"/>
          <w:szCs w:val="26"/>
          <w:lang w:val="es-MX"/>
        </w:rPr>
        <w:t xml:space="preserve"> a lo dispuesto por el artículo 140 de la Ley de la materia; </w:t>
      </w:r>
      <w:r w:rsidRPr="00896ED0">
        <w:rPr>
          <w:rFonts w:ascii="Arial" w:hAnsi="Arial" w:cs="Arial"/>
          <w:b/>
          <w:sz w:val="26"/>
          <w:szCs w:val="26"/>
          <w:lang w:val="es-MX"/>
        </w:rPr>
        <w:t xml:space="preserve">por lo que el plazo </w:t>
      </w:r>
      <w:r w:rsidR="005179A3" w:rsidRPr="00896ED0">
        <w:rPr>
          <w:rFonts w:ascii="Arial" w:hAnsi="Arial" w:cs="Arial"/>
          <w:b/>
          <w:sz w:val="26"/>
          <w:szCs w:val="26"/>
          <w:lang w:val="es-MX"/>
        </w:rPr>
        <w:t xml:space="preserve">de cinco días </w:t>
      </w:r>
      <w:r w:rsidR="00244920" w:rsidRPr="00896ED0">
        <w:rPr>
          <w:rFonts w:ascii="Arial" w:hAnsi="Arial" w:cs="Arial"/>
          <w:b/>
          <w:sz w:val="26"/>
          <w:szCs w:val="26"/>
          <w:lang w:val="es-MX"/>
        </w:rPr>
        <w:t xml:space="preserve">que tuvo la recurrente </w:t>
      </w:r>
      <w:r w:rsidR="005179A3" w:rsidRPr="00896ED0">
        <w:rPr>
          <w:rFonts w:ascii="Arial" w:hAnsi="Arial" w:cs="Arial"/>
          <w:b/>
          <w:sz w:val="26"/>
          <w:szCs w:val="26"/>
          <w:lang w:val="es-MX"/>
        </w:rPr>
        <w:t>para la interposición del recurso,</w:t>
      </w:r>
      <w:r w:rsidRPr="00896ED0">
        <w:rPr>
          <w:rFonts w:ascii="Arial" w:hAnsi="Arial" w:cs="Arial"/>
          <w:b/>
          <w:sz w:val="26"/>
          <w:szCs w:val="26"/>
          <w:lang w:val="es-MX"/>
        </w:rPr>
        <w:t xml:space="preserve"> </w:t>
      </w:r>
      <w:r w:rsidRPr="00896ED0">
        <w:rPr>
          <w:rFonts w:ascii="Arial" w:hAnsi="Arial" w:cs="Arial"/>
          <w:b/>
          <w:sz w:val="26"/>
          <w:szCs w:val="26"/>
          <w:u w:val="single"/>
          <w:lang w:val="es-MX"/>
        </w:rPr>
        <w:t xml:space="preserve">transcurrió del </w:t>
      </w:r>
      <w:r w:rsidR="00244920" w:rsidRPr="00896ED0">
        <w:rPr>
          <w:rFonts w:ascii="Arial" w:hAnsi="Arial" w:cs="Arial"/>
          <w:b/>
          <w:sz w:val="26"/>
          <w:szCs w:val="26"/>
          <w:u w:val="single"/>
          <w:lang w:val="es-MX"/>
        </w:rPr>
        <w:t xml:space="preserve">jueves 15 quince </w:t>
      </w:r>
      <w:r w:rsidR="00134345" w:rsidRPr="00896ED0">
        <w:rPr>
          <w:rFonts w:ascii="Arial" w:hAnsi="Arial" w:cs="Arial"/>
          <w:b/>
          <w:sz w:val="26"/>
          <w:szCs w:val="26"/>
          <w:u w:val="single"/>
          <w:lang w:val="es-MX"/>
        </w:rPr>
        <w:t>al</w:t>
      </w:r>
      <w:r w:rsidRPr="00896ED0">
        <w:rPr>
          <w:rFonts w:ascii="Arial" w:hAnsi="Arial" w:cs="Arial"/>
          <w:b/>
          <w:sz w:val="26"/>
          <w:szCs w:val="26"/>
          <w:u w:val="single"/>
          <w:lang w:val="es-MX"/>
        </w:rPr>
        <w:t xml:space="preserve"> </w:t>
      </w:r>
      <w:r w:rsidR="00244920" w:rsidRPr="00896ED0">
        <w:rPr>
          <w:rFonts w:ascii="Arial" w:hAnsi="Arial" w:cs="Arial"/>
          <w:b/>
          <w:sz w:val="26"/>
          <w:szCs w:val="26"/>
          <w:u w:val="single"/>
          <w:lang w:val="es-MX"/>
        </w:rPr>
        <w:t>jueves 22 veintidós de marzo de 2018 dos mil dieciocho</w:t>
      </w:r>
      <w:r>
        <w:rPr>
          <w:rFonts w:ascii="Arial" w:hAnsi="Arial" w:cs="Arial"/>
          <w:sz w:val="26"/>
          <w:szCs w:val="26"/>
          <w:lang w:val="es-MX"/>
        </w:rPr>
        <w:t xml:space="preserve">, </w:t>
      </w:r>
      <w:r w:rsidR="005179A3">
        <w:rPr>
          <w:rFonts w:ascii="Arial" w:hAnsi="Arial" w:cs="Arial"/>
          <w:sz w:val="26"/>
          <w:szCs w:val="26"/>
          <w:lang w:val="es-MX"/>
        </w:rPr>
        <w:t>excluyéndose</w:t>
      </w:r>
      <w:r>
        <w:rPr>
          <w:rFonts w:ascii="Arial" w:hAnsi="Arial" w:cs="Arial"/>
          <w:sz w:val="26"/>
          <w:szCs w:val="26"/>
          <w:lang w:val="es-MX"/>
        </w:rPr>
        <w:t xml:space="preserve"> los días </w:t>
      </w:r>
      <w:r w:rsidR="00134345">
        <w:rPr>
          <w:rFonts w:ascii="Arial" w:hAnsi="Arial" w:cs="Arial"/>
          <w:sz w:val="26"/>
          <w:szCs w:val="26"/>
          <w:lang w:val="es-MX"/>
        </w:rPr>
        <w:t>1</w:t>
      </w:r>
      <w:r w:rsidR="00244920">
        <w:rPr>
          <w:rFonts w:ascii="Arial" w:hAnsi="Arial" w:cs="Arial"/>
          <w:sz w:val="26"/>
          <w:szCs w:val="26"/>
          <w:lang w:val="es-MX"/>
        </w:rPr>
        <w:t>7</w:t>
      </w:r>
      <w:r>
        <w:rPr>
          <w:rFonts w:ascii="Arial" w:hAnsi="Arial" w:cs="Arial"/>
          <w:sz w:val="26"/>
          <w:szCs w:val="26"/>
          <w:lang w:val="es-MX"/>
        </w:rPr>
        <w:t xml:space="preserve"> </w:t>
      </w:r>
      <w:r w:rsidR="00244920">
        <w:rPr>
          <w:rFonts w:ascii="Arial" w:hAnsi="Arial" w:cs="Arial"/>
          <w:sz w:val="26"/>
          <w:szCs w:val="26"/>
          <w:lang w:val="es-MX"/>
        </w:rPr>
        <w:t xml:space="preserve">diecisiete y </w:t>
      </w:r>
      <w:r w:rsidR="00B7530D">
        <w:rPr>
          <w:rFonts w:ascii="Arial" w:hAnsi="Arial" w:cs="Arial"/>
          <w:sz w:val="26"/>
          <w:szCs w:val="26"/>
          <w:lang w:val="es-MX"/>
        </w:rPr>
        <w:t xml:space="preserve">18 </w:t>
      </w:r>
      <w:r w:rsidR="00244920">
        <w:rPr>
          <w:rFonts w:ascii="Arial" w:hAnsi="Arial" w:cs="Arial"/>
          <w:sz w:val="26"/>
          <w:szCs w:val="26"/>
          <w:lang w:val="es-MX"/>
        </w:rPr>
        <w:t>dieciocho de marzo de la presente anualidad,</w:t>
      </w:r>
      <w:r w:rsidR="00134345">
        <w:rPr>
          <w:rFonts w:ascii="Arial" w:hAnsi="Arial" w:cs="Arial"/>
          <w:sz w:val="26"/>
          <w:szCs w:val="26"/>
          <w:lang w:val="es-MX"/>
        </w:rPr>
        <w:t xml:space="preserve"> </w:t>
      </w:r>
      <w:r>
        <w:rPr>
          <w:rFonts w:ascii="Arial" w:hAnsi="Arial" w:cs="Arial"/>
          <w:sz w:val="26"/>
          <w:szCs w:val="26"/>
          <w:lang w:val="es-MX"/>
        </w:rPr>
        <w:t xml:space="preserve">por ser </w:t>
      </w:r>
      <w:r w:rsidR="00B7530D">
        <w:rPr>
          <w:rFonts w:ascii="Arial" w:hAnsi="Arial" w:cs="Arial"/>
          <w:sz w:val="26"/>
          <w:szCs w:val="26"/>
          <w:lang w:val="es-MX"/>
        </w:rPr>
        <w:t xml:space="preserve">días </w:t>
      </w:r>
      <w:r w:rsidR="00244920">
        <w:rPr>
          <w:rFonts w:ascii="Arial" w:hAnsi="Arial" w:cs="Arial"/>
          <w:sz w:val="26"/>
          <w:szCs w:val="26"/>
          <w:lang w:val="es-MX"/>
        </w:rPr>
        <w:t xml:space="preserve">inhábiles al tratarse de </w:t>
      </w:r>
      <w:r>
        <w:rPr>
          <w:rFonts w:ascii="Arial" w:hAnsi="Arial" w:cs="Arial"/>
          <w:sz w:val="26"/>
          <w:szCs w:val="26"/>
          <w:lang w:val="es-MX"/>
        </w:rPr>
        <w:t>sábado y domingo</w:t>
      </w:r>
      <w:r w:rsidR="00B7530D">
        <w:rPr>
          <w:rFonts w:ascii="Arial" w:hAnsi="Arial" w:cs="Arial"/>
          <w:sz w:val="26"/>
          <w:szCs w:val="26"/>
          <w:lang w:val="es-MX"/>
        </w:rPr>
        <w:t>, con fundamento en lo dispuesto por el artículo 135 de la Ley que rige el procedimiento</w:t>
      </w:r>
      <w:r w:rsidR="00244920">
        <w:rPr>
          <w:rFonts w:ascii="Arial" w:hAnsi="Arial" w:cs="Arial"/>
          <w:sz w:val="26"/>
          <w:szCs w:val="26"/>
          <w:lang w:val="es-MX"/>
        </w:rPr>
        <w:t xml:space="preserve">; </w:t>
      </w:r>
      <w:r w:rsidR="00B7530D">
        <w:rPr>
          <w:rFonts w:ascii="Arial" w:hAnsi="Arial" w:cs="Arial"/>
          <w:sz w:val="26"/>
          <w:szCs w:val="26"/>
          <w:lang w:val="es-MX"/>
        </w:rPr>
        <w:t xml:space="preserve">el lunes 19 diecinueve de marzo, por ser inhábil con fundamento en lo dispuesto por el artículo </w:t>
      </w:r>
      <w:r w:rsidR="00896ED0">
        <w:rPr>
          <w:rFonts w:ascii="Arial" w:hAnsi="Arial" w:cs="Arial"/>
          <w:sz w:val="26"/>
          <w:szCs w:val="26"/>
          <w:lang w:val="es-MX"/>
        </w:rPr>
        <w:t>74 de la Ley Federal del Trabajo</w:t>
      </w:r>
      <w:r w:rsidR="007C24D5">
        <w:rPr>
          <w:rFonts w:ascii="Arial" w:hAnsi="Arial" w:cs="Arial"/>
          <w:sz w:val="26"/>
          <w:szCs w:val="26"/>
          <w:lang w:val="es-MX"/>
        </w:rPr>
        <w:t>.</w:t>
      </w:r>
    </w:p>
    <w:p w:rsidR="004F3025" w:rsidRDefault="00EA2D06" w:rsidP="004F3025">
      <w:pPr>
        <w:spacing w:line="360" w:lineRule="auto"/>
        <w:ind w:firstLine="708"/>
        <w:jc w:val="both"/>
        <w:rPr>
          <w:rFonts w:ascii="Arial" w:hAnsi="Arial" w:cs="Arial"/>
          <w:sz w:val="26"/>
          <w:szCs w:val="26"/>
          <w:lang w:val="es-MX"/>
        </w:rPr>
      </w:pPr>
      <w:r>
        <w:rPr>
          <w:rFonts w:ascii="Arial" w:hAnsi="Arial" w:cs="Arial"/>
          <w:sz w:val="26"/>
          <w:szCs w:val="26"/>
          <w:lang w:val="es-MX"/>
        </w:rPr>
        <w:t>Consecuentemente</w:t>
      </w:r>
      <w:r w:rsidR="005179A3">
        <w:rPr>
          <w:rFonts w:ascii="Arial" w:hAnsi="Arial" w:cs="Arial"/>
          <w:sz w:val="26"/>
          <w:szCs w:val="26"/>
          <w:lang w:val="es-MX"/>
        </w:rPr>
        <w:t xml:space="preserve"> al haber sido presentado </w:t>
      </w:r>
      <w:r w:rsidR="008B350F">
        <w:rPr>
          <w:rFonts w:ascii="Arial" w:hAnsi="Arial" w:cs="Arial"/>
          <w:sz w:val="26"/>
          <w:szCs w:val="26"/>
          <w:lang w:val="es-MX"/>
        </w:rPr>
        <w:t xml:space="preserve">el recurso </w:t>
      </w:r>
      <w:r w:rsidR="005179A3">
        <w:rPr>
          <w:rFonts w:ascii="Arial" w:hAnsi="Arial" w:cs="Arial"/>
          <w:sz w:val="26"/>
          <w:szCs w:val="26"/>
          <w:lang w:val="es-MX"/>
        </w:rPr>
        <w:t xml:space="preserve">de revisión el </w:t>
      </w:r>
      <w:r w:rsidR="00896ED0">
        <w:rPr>
          <w:rFonts w:ascii="Arial" w:hAnsi="Arial" w:cs="Arial"/>
          <w:sz w:val="26"/>
          <w:szCs w:val="26"/>
          <w:lang w:val="es-MX"/>
        </w:rPr>
        <w:t xml:space="preserve">lunes 9 nueve </w:t>
      </w:r>
      <w:r w:rsidR="005179A3">
        <w:rPr>
          <w:rFonts w:ascii="Arial" w:hAnsi="Arial" w:cs="Arial"/>
          <w:sz w:val="26"/>
          <w:szCs w:val="26"/>
          <w:lang w:val="es-MX"/>
        </w:rPr>
        <w:t xml:space="preserve">de </w:t>
      </w:r>
      <w:r w:rsidR="00134345">
        <w:rPr>
          <w:rFonts w:ascii="Arial" w:hAnsi="Arial" w:cs="Arial"/>
          <w:sz w:val="26"/>
          <w:szCs w:val="26"/>
          <w:lang w:val="es-MX"/>
        </w:rPr>
        <w:t>a</w:t>
      </w:r>
      <w:r w:rsidR="00896ED0">
        <w:rPr>
          <w:rFonts w:ascii="Arial" w:hAnsi="Arial" w:cs="Arial"/>
          <w:sz w:val="26"/>
          <w:szCs w:val="26"/>
          <w:lang w:val="es-MX"/>
        </w:rPr>
        <w:t xml:space="preserve">bril </w:t>
      </w:r>
      <w:r w:rsidR="005179A3">
        <w:rPr>
          <w:rFonts w:ascii="Arial" w:hAnsi="Arial" w:cs="Arial"/>
          <w:sz w:val="26"/>
          <w:szCs w:val="26"/>
          <w:lang w:val="es-MX"/>
        </w:rPr>
        <w:t>del año que transcurre,</w:t>
      </w:r>
      <w:r w:rsidR="007C24D5">
        <w:rPr>
          <w:rFonts w:ascii="Arial" w:hAnsi="Arial" w:cs="Arial"/>
          <w:sz w:val="26"/>
          <w:szCs w:val="26"/>
          <w:lang w:val="es-MX"/>
        </w:rPr>
        <w:t xml:space="preserve"> es decir, </w:t>
      </w:r>
      <w:r w:rsidR="008B350F">
        <w:rPr>
          <w:rFonts w:ascii="Arial" w:hAnsi="Arial" w:cs="Arial"/>
          <w:sz w:val="26"/>
          <w:szCs w:val="26"/>
          <w:lang w:val="es-MX"/>
        </w:rPr>
        <w:t xml:space="preserve">fuera del plazo </w:t>
      </w:r>
      <w:r w:rsidR="00896ED0">
        <w:rPr>
          <w:rFonts w:ascii="Arial" w:hAnsi="Arial" w:cs="Arial"/>
          <w:sz w:val="26"/>
          <w:szCs w:val="26"/>
          <w:lang w:val="es-MX"/>
        </w:rPr>
        <w:t xml:space="preserve">de cinco días </w:t>
      </w:r>
      <w:r w:rsidR="008B350F">
        <w:rPr>
          <w:rFonts w:ascii="Arial" w:hAnsi="Arial" w:cs="Arial"/>
          <w:sz w:val="26"/>
          <w:szCs w:val="26"/>
          <w:lang w:val="es-MX"/>
        </w:rPr>
        <w:t xml:space="preserve">que dispone el </w:t>
      </w:r>
      <w:r w:rsidR="00896ED0">
        <w:rPr>
          <w:rFonts w:ascii="Arial" w:hAnsi="Arial" w:cs="Arial"/>
          <w:sz w:val="26"/>
          <w:szCs w:val="26"/>
          <w:lang w:val="es-MX"/>
        </w:rPr>
        <w:t xml:space="preserve">artículo </w:t>
      </w:r>
      <w:r w:rsidR="00896ED0" w:rsidRPr="00E53EFE">
        <w:rPr>
          <w:rFonts w:ascii="Arial" w:hAnsi="Arial" w:cs="Arial"/>
          <w:sz w:val="26"/>
          <w:szCs w:val="26"/>
          <w:lang w:val="es-MX"/>
        </w:rPr>
        <w:t>2</w:t>
      </w:r>
      <w:r w:rsidR="00E53EFE">
        <w:rPr>
          <w:rFonts w:ascii="Arial" w:hAnsi="Arial" w:cs="Arial"/>
          <w:sz w:val="26"/>
          <w:szCs w:val="26"/>
          <w:lang w:val="es-MX"/>
        </w:rPr>
        <w:t>3</w:t>
      </w:r>
      <w:r w:rsidR="00896ED0" w:rsidRPr="00E53EFE">
        <w:rPr>
          <w:rFonts w:ascii="Arial" w:hAnsi="Arial" w:cs="Arial"/>
          <w:sz w:val="26"/>
          <w:szCs w:val="26"/>
          <w:lang w:val="es-MX"/>
        </w:rPr>
        <w:t>7</w:t>
      </w:r>
      <w:r w:rsidR="00896ED0">
        <w:rPr>
          <w:rFonts w:ascii="Arial" w:hAnsi="Arial" w:cs="Arial"/>
          <w:sz w:val="26"/>
          <w:szCs w:val="26"/>
          <w:lang w:val="es-MX"/>
        </w:rPr>
        <w:t xml:space="preserve">, de la Ley de </w:t>
      </w:r>
      <w:r w:rsidR="0098302C">
        <w:rPr>
          <w:rFonts w:ascii="Arial" w:hAnsi="Arial" w:cs="Arial"/>
          <w:sz w:val="26"/>
          <w:szCs w:val="26"/>
          <w:lang w:val="es-MX"/>
        </w:rPr>
        <w:t xml:space="preserve">Procedimiento y </w:t>
      </w:r>
      <w:r w:rsidR="00896ED0">
        <w:rPr>
          <w:rFonts w:ascii="Arial" w:hAnsi="Arial" w:cs="Arial"/>
          <w:sz w:val="26"/>
          <w:szCs w:val="26"/>
          <w:lang w:val="es-MX"/>
        </w:rPr>
        <w:t>Justicia Administrativa para el Estado de Oaxaca</w:t>
      </w:r>
      <w:r w:rsidR="008B350F">
        <w:rPr>
          <w:rFonts w:ascii="Arial" w:hAnsi="Arial" w:cs="Arial"/>
          <w:sz w:val="26"/>
          <w:szCs w:val="26"/>
          <w:lang w:val="es-MX"/>
        </w:rPr>
        <w:t xml:space="preserve">, </w:t>
      </w:r>
      <w:r w:rsidR="00896ED0">
        <w:rPr>
          <w:rFonts w:ascii="Arial" w:hAnsi="Arial" w:cs="Arial"/>
          <w:sz w:val="26"/>
          <w:szCs w:val="26"/>
          <w:lang w:val="es-MX"/>
        </w:rPr>
        <w:t xml:space="preserve">lo procedente es </w:t>
      </w:r>
      <w:r w:rsidR="00896ED0" w:rsidRPr="008F62AA">
        <w:rPr>
          <w:rFonts w:ascii="Arial" w:hAnsi="Arial" w:cs="Arial"/>
          <w:b/>
          <w:sz w:val="26"/>
          <w:szCs w:val="26"/>
          <w:lang w:val="es-MX"/>
        </w:rPr>
        <w:t>DESECHA</w:t>
      </w:r>
      <w:r w:rsidR="00896ED0">
        <w:rPr>
          <w:rFonts w:ascii="Arial" w:hAnsi="Arial" w:cs="Arial"/>
          <w:b/>
          <w:sz w:val="26"/>
          <w:szCs w:val="26"/>
          <w:lang w:val="es-MX"/>
        </w:rPr>
        <w:t xml:space="preserve">R </w:t>
      </w:r>
      <w:r w:rsidR="00896ED0">
        <w:rPr>
          <w:rFonts w:ascii="Arial" w:hAnsi="Arial" w:cs="Arial"/>
          <w:sz w:val="26"/>
          <w:szCs w:val="26"/>
          <w:lang w:val="es-MX"/>
        </w:rPr>
        <w:t>el recurso de revisión, al</w:t>
      </w:r>
      <w:r w:rsidR="008B350F">
        <w:rPr>
          <w:rFonts w:ascii="Arial" w:hAnsi="Arial" w:cs="Arial"/>
          <w:sz w:val="26"/>
          <w:szCs w:val="26"/>
          <w:lang w:val="es-MX"/>
        </w:rPr>
        <w:t xml:space="preserve"> haberse </w:t>
      </w:r>
      <w:r w:rsidR="007C24D5">
        <w:rPr>
          <w:rFonts w:ascii="Arial" w:hAnsi="Arial" w:cs="Arial"/>
          <w:sz w:val="26"/>
          <w:szCs w:val="26"/>
          <w:lang w:val="es-MX"/>
        </w:rPr>
        <w:t>interpuesto</w:t>
      </w:r>
      <w:r w:rsidR="008F62AA">
        <w:rPr>
          <w:rFonts w:ascii="Arial" w:hAnsi="Arial" w:cs="Arial"/>
          <w:sz w:val="26"/>
          <w:szCs w:val="26"/>
          <w:lang w:val="es-MX"/>
        </w:rPr>
        <w:t xml:space="preserve"> en forma </w:t>
      </w:r>
      <w:r w:rsidR="008B350F">
        <w:rPr>
          <w:rFonts w:ascii="Arial" w:hAnsi="Arial" w:cs="Arial"/>
          <w:sz w:val="26"/>
          <w:szCs w:val="26"/>
          <w:lang w:val="es-MX"/>
        </w:rPr>
        <w:t xml:space="preserve"> </w:t>
      </w:r>
      <w:r w:rsidR="00896ED0" w:rsidRPr="00896ED0">
        <w:rPr>
          <w:rFonts w:ascii="Arial" w:hAnsi="Arial" w:cs="Arial"/>
          <w:b/>
          <w:sz w:val="26"/>
          <w:szCs w:val="26"/>
          <w:lang w:val="es-MX"/>
        </w:rPr>
        <w:t>EXTEMPORÁNEA</w:t>
      </w:r>
      <w:r w:rsidR="008B350F">
        <w:rPr>
          <w:rFonts w:ascii="Arial" w:hAnsi="Arial" w:cs="Arial"/>
          <w:sz w:val="26"/>
          <w:szCs w:val="26"/>
          <w:lang w:val="es-MX"/>
        </w:rPr>
        <w:t>.</w:t>
      </w:r>
    </w:p>
    <w:p w:rsidR="00C61CE7" w:rsidRDefault="002E28EB" w:rsidP="004F3025">
      <w:pPr>
        <w:spacing w:after="0" w:line="360" w:lineRule="auto"/>
        <w:ind w:firstLine="708"/>
        <w:jc w:val="both"/>
        <w:rPr>
          <w:rFonts w:ascii="Arial" w:hAnsi="Arial" w:cs="Arial"/>
          <w:sz w:val="26"/>
          <w:szCs w:val="26"/>
          <w:lang w:val="es-MX"/>
        </w:rPr>
      </w:pPr>
      <w:r>
        <w:rPr>
          <w:rFonts w:ascii="Arial" w:hAnsi="Arial" w:cs="Arial"/>
          <w:sz w:val="26"/>
          <w:szCs w:val="26"/>
          <w:lang w:val="es-MX"/>
        </w:rPr>
        <w:t>En mé</w:t>
      </w:r>
      <w:r w:rsidR="00C61CE7">
        <w:rPr>
          <w:rFonts w:ascii="Arial" w:hAnsi="Arial" w:cs="Arial"/>
          <w:sz w:val="26"/>
          <w:szCs w:val="26"/>
          <w:lang w:val="es-MX"/>
        </w:rPr>
        <w:t xml:space="preserve">rito de lo anterior, con fundamento en los artículos </w:t>
      </w:r>
      <w:r w:rsidR="00C61CE7" w:rsidRPr="00E53EFE">
        <w:rPr>
          <w:rFonts w:ascii="Arial" w:hAnsi="Arial" w:cs="Arial"/>
          <w:sz w:val="26"/>
          <w:szCs w:val="26"/>
          <w:lang w:val="es-MX"/>
        </w:rPr>
        <w:t>2</w:t>
      </w:r>
      <w:r w:rsidR="00E53EFE">
        <w:rPr>
          <w:rFonts w:ascii="Arial" w:hAnsi="Arial" w:cs="Arial"/>
          <w:sz w:val="26"/>
          <w:szCs w:val="26"/>
          <w:lang w:val="es-MX"/>
        </w:rPr>
        <w:t>3</w:t>
      </w:r>
      <w:r w:rsidR="00C61CE7" w:rsidRPr="00E53EFE">
        <w:rPr>
          <w:rFonts w:ascii="Arial" w:hAnsi="Arial" w:cs="Arial"/>
          <w:sz w:val="26"/>
          <w:szCs w:val="26"/>
          <w:lang w:val="es-MX"/>
        </w:rPr>
        <w:t>7 y 2</w:t>
      </w:r>
      <w:r w:rsidR="00E53EFE">
        <w:rPr>
          <w:rFonts w:ascii="Arial" w:hAnsi="Arial" w:cs="Arial"/>
          <w:sz w:val="26"/>
          <w:szCs w:val="26"/>
          <w:lang w:val="es-MX"/>
        </w:rPr>
        <w:t>3</w:t>
      </w:r>
      <w:r w:rsidR="00C61CE7" w:rsidRPr="00E53EFE">
        <w:rPr>
          <w:rFonts w:ascii="Arial" w:hAnsi="Arial" w:cs="Arial"/>
          <w:sz w:val="26"/>
          <w:szCs w:val="26"/>
          <w:lang w:val="es-MX"/>
        </w:rPr>
        <w:t>8</w:t>
      </w:r>
      <w:r w:rsidR="00C61CE7">
        <w:rPr>
          <w:rFonts w:ascii="Arial" w:hAnsi="Arial" w:cs="Arial"/>
          <w:sz w:val="26"/>
          <w:szCs w:val="26"/>
          <w:lang w:val="es-MX"/>
        </w:rPr>
        <w:t xml:space="preserve"> de la Ley de </w:t>
      </w:r>
      <w:r w:rsidR="0098302C">
        <w:rPr>
          <w:rFonts w:ascii="Arial" w:hAnsi="Arial" w:cs="Arial"/>
          <w:sz w:val="26"/>
          <w:szCs w:val="26"/>
          <w:lang w:val="es-MX"/>
        </w:rPr>
        <w:t xml:space="preserve">Procedimiento y </w:t>
      </w:r>
      <w:r w:rsidR="00C61CE7">
        <w:rPr>
          <w:rFonts w:ascii="Arial" w:hAnsi="Arial" w:cs="Arial"/>
          <w:sz w:val="26"/>
          <w:szCs w:val="26"/>
          <w:lang w:val="es-MX"/>
        </w:rPr>
        <w:t>Justicia Administrativa para el Estado</w:t>
      </w:r>
      <w:r w:rsidR="003D4EC7">
        <w:rPr>
          <w:rFonts w:ascii="Arial" w:hAnsi="Arial" w:cs="Arial"/>
          <w:sz w:val="26"/>
          <w:szCs w:val="26"/>
          <w:lang w:val="es-MX"/>
        </w:rPr>
        <w:t xml:space="preserve"> </w:t>
      </w:r>
      <w:r w:rsidR="00C61CE7">
        <w:rPr>
          <w:rFonts w:ascii="Arial" w:hAnsi="Arial" w:cs="Arial"/>
          <w:sz w:val="26"/>
          <w:szCs w:val="26"/>
          <w:lang w:val="es-MX"/>
        </w:rPr>
        <w:t>se:</w:t>
      </w:r>
    </w:p>
    <w:p w:rsidR="00C61CE7" w:rsidRDefault="00C61CE7" w:rsidP="004F3025">
      <w:pPr>
        <w:spacing w:after="0"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7C50B2" w:rsidRDefault="00C61CE7" w:rsidP="004F3025">
      <w:pPr>
        <w:spacing w:after="0"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desecha </w:t>
      </w:r>
      <w:r w:rsidR="00A57AB1">
        <w:rPr>
          <w:rFonts w:ascii="Arial" w:hAnsi="Arial" w:cs="Arial"/>
          <w:sz w:val="26"/>
          <w:szCs w:val="26"/>
          <w:lang w:val="es-MX"/>
        </w:rPr>
        <w:t xml:space="preserve">por </w:t>
      </w:r>
      <w:r w:rsidR="00896ED0">
        <w:rPr>
          <w:rFonts w:ascii="Arial" w:hAnsi="Arial" w:cs="Arial"/>
          <w:b/>
          <w:sz w:val="26"/>
          <w:szCs w:val="26"/>
          <w:lang w:val="es-MX"/>
        </w:rPr>
        <w:t>EXTEMPORÁNEO</w:t>
      </w:r>
      <w:r w:rsidR="00A57AB1">
        <w:rPr>
          <w:rFonts w:ascii="Arial" w:hAnsi="Arial" w:cs="Arial"/>
          <w:b/>
          <w:sz w:val="26"/>
          <w:szCs w:val="26"/>
          <w:lang w:val="es-MX"/>
        </w:rPr>
        <w:t xml:space="preserve">, </w:t>
      </w:r>
      <w:r>
        <w:rPr>
          <w:rFonts w:ascii="Arial" w:hAnsi="Arial" w:cs="Arial"/>
          <w:sz w:val="26"/>
          <w:szCs w:val="26"/>
          <w:lang w:val="es-MX"/>
        </w:rPr>
        <w:t>el recurso de revisión interpuesto por</w:t>
      </w:r>
      <w:r w:rsidR="004F3C7D">
        <w:rPr>
          <w:rFonts w:ascii="Arial" w:hAnsi="Arial" w:cs="Arial"/>
          <w:sz w:val="26"/>
          <w:szCs w:val="26"/>
          <w:lang w:val="es-MX"/>
        </w:rPr>
        <w:t xml:space="preserve"> </w:t>
      </w:r>
      <w:r w:rsidR="00675686">
        <w:rPr>
          <w:rFonts w:ascii="Arial" w:hAnsi="Arial" w:cs="Arial"/>
          <w:b/>
          <w:sz w:val="26"/>
          <w:szCs w:val="26"/>
          <w:lang w:val="es-MX"/>
        </w:rPr>
        <w:t>**********</w:t>
      </w:r>
      <w:r>
        <w:rPr>
          <w:rFonts w:ascii="Arial" w:hAnsi="Arial" w:cs="Arial"/>
          <w:sz w:val="26"/>
          <w:szCs w:val="26"/>
          <w:lang w:val="es-MX"/>
        </w:rPr>
        <w:t xml:space="preserve">, en contra de la </w:t>
      </w:r>
      <w:r w:rsidR="007C50B2">
        <w:rPr>
          <w:rFonts w:ascii="Arial" w:hAnsi="Arial" w:cs="Arial"/>
          <w:sz w:val="26"/>
          <w:szCs w:val="26"/>
          <w:lang w:val="es-MX"/>
        </w:rPr>
        <w:t>parte relativa del acuerdo de</w:t>
      </w:r>
      <w:r w:rsidR="00896ED0">
        <w:rPr>
          <w:rFonts w:ascii="Arial" w:hAnsi="Arial" w:cs="Arial"/>
          <w:sz w:val="26"/>
          <w:szCs w:val="26"/>
          <w:lang w:val="es-MX"/>
        </w:rPr>
        <w:t xml:space="preserve"> dieciséis de enero </w:t>
      </w:r>
      <w:r w:rsidR="00A57AB1">
        <w:rPr>
          <w:rFonts w:ascii="Arial" w:hAnsi="Arial" w:cs="Arial"/>
          <w:sz w:val="26"/>
          <w:szCs w:val="26"/>
          <w:lang w:val="es-MX"/>
        </w:rPr>
        <w:t xml:space="preserve">de dos mil </w:t>
      </w:r>
      <w:r w:rsidR="00896ED0">
        <w:rPr>
          <w:rFonts w:ascii="Arial" w:hAnsi="Arial" w:cs="Arial"/>
          <w:sz w:val="26"/>
          <w:szCs w:val="26"/>
          <w:lang w:val="es-MX"/>
        </w:rPr>
        <w:t>dieciocho</w:t>
      </w:r>
      <w:r w:rsidR="004F3C7D">
        <w:rPr>
          <w:rFonts w:ascii="Arial" w:hAnsi="Arial" w:cs="Arial"/>
          <w:sz w:val="26"/>
          <w:szCs w:val="26"/>
          <w:lang w:val="es-MX"/>
        </w:rPr>
        <w:t>.</w:t>
      </w:r>
    </w:p>
    <w:p w:rsidR="007C50B2" w:rsidRDefault="00D4278C" w:rsidP="004F3025">
      <w:pPr>
        <w:spacing w:before="240" w:after="0" w:line="360" w:lineRule="auto"/>
        <w:ind w:firstLine="708"/>
        <w:jc w:val="both"/>
        <w:rPr>
          <w:rFonts w:ascii="Arial" w:hAnsi="Arial" w:cs="Arial"/>
          <w:sz w:val="26"/>
          <w:szCs w:val="26"/>
          <w:lang w:val="es-MX"/>
        </w:rPr>
      </w:pPr>
      <w:r>
        <w:rPr>
          <w:rFonts w:ascii="Arial" w:hAnsi="Arial" w:cs="Arial"/>
          <w:b/>
          <w:bCs/>
          <w:sz w:val="26"/>
          <w:szCs w:val="26"/>
        </w:rPr>
        <w:lastRenderedPageBreak/>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p>
    <w:p w:rsidR="00C943AC" w:rsidRDefault="00C943AC" w:rsidP="00C943AC">
      <w:pPr>
        <w:spacing w:before="240" w:line="360" w:lineRule="auto"/>
        <w:ind w:firstLine="708"/>
        <w:jc w:val="both"/>
        <w:rPr>
          <w:rFonts w:ascii="Arial" w:eastAsia="Times New Roman" w:hAnsi="Arial" w:cs="Arial"/>
          <w:sz w:val="26"/>
          <w:szCs w:val="26"/>
          <w:lang w:val="es-MX"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943AC" w:rsidRDefault="00C943AC" w:rsidP="00C943AC">
      <w:pPr>
        <w:spacing w:before="240" w:line="360" w:lineRule="auto"/>
        <w:jc w:val="both"/>
        <w:rPr>
          <w:rFonts w:ascii="Arial" w:eastAsia="Times New Roman" w:hAnsi="Arial" w:cs="Arial"/>
          <w:sz w:val="26"/>
          <w:szCs w:val="26"/>
          <w:lang w:eastAsia="es-MX"/>
        </w:rPr>
      </w:pPr>
    </w:p>
    <w:p w:rsidR="00C943AC" w:rsidRDefault="00C943AC" w:rsidP="00C943AC">
      <w:pPr>
        <w:spacing w:before="240" w:line="360" w:lineRule="auto"/>
        <w:jc w:val="both"/>
        <w:rPr>
          <w:rFonts w:ascii="Arial" w:eastAsia="Times New Roman" w:hAnsi="Arial" w:cs="Arial"/>
          <w:sz w:val="26"/>
          <w:szCs w:val="26"/>
          <w:lang w:eastAsia="es-MX"/>
        </w:rPr>
      </w:pPr>
    </w:p>
    <w:p w:rsidR="00C943AC" w:rsidRDefault="00C943AC" w:rsidP="00C943AC">
      <w:pPr>
        <w:pStyle w:val="Sinespaciado"/>
        <w:jc w:val="center"/>
        <w:rPr>
          <w:rFonts w:ascii="Arial" w:hAnsi="Arial" w:cs="Arial"/>
          <w:sz w:val="26"/>
          <w:szCs w:val="26"/>
          <w:lang w:val="es-MX"/>
        </w:rPr>
      </w:pPr>
      <w:r>
        <w:rPr>
          <w:rFonts w:ascii="Arial" w:hAnsi="Arial" w:cs="Arial"/>
          <w:sz w:val="26"/>
          <w:szCs w:val="26"/>
        </w:rPr>
        <w:t>MAGISTRADO ADRIÁN QUIROGA AVENDAÑO.</w:t>
      </w:r>
    </w:p>
    <w:p w:rsidR="00C943AC" w:rsidRDefault="00C943AC" w:rsidP="00C943AC">
      <w:pPr>
        <w:pStyle w:val="Sinespaciado"/>
        <w:jc w:val="center"/>
        <w:rPr>
          <w:rFonts w:ascii="Arial" w:hAnsi="Arial" w:cs="Arial"/>
          <w:sz w:val="26"/>
          <w:szCs w:val="26"/>
        </w:rPr>
      </w:pPr>
      <w:r>
        <w:rPr>
          <w:rFonts w:ascii="Arial" w:hAnsi="Arial" w:cs="Arial"/>
          <w:sz w:val="26"/>
          <w:szCs w:val="26"/>
        </w:rPr>
        <w:t>PRESIDENTE</w:t>
      </w:r>
    </w:p>
    <w:p w:rsidR="00C943AC" w:rsidRDefault="00C943AC" w:rsidP="00C943AC">
      <w:pPr>
        <w:spacing w:line="360" w:lineRule="auto"/>
        <w:rPr>
          <w:rFonts w:ascii="Arial" w:hAnsi="Arial" w:cs="Arial"/>
          <w:sz w:val="26"/>
          <w:szCs w:val="26"/>
        </w:rPr>
      </w:pPr>
    </w:p>
    <w:p w:rsidR="00C943AC" w:rsidRDefault="00C943AC" w:rsidP="00C943AC">
      <w:pPr>
        <w:spacing w:line="360" w:lineRule="auto"/>
        <w:rPr>
          <w:rFonts w:ascii="Arial" w:hAnsi="Arial" w:cs="Arial"/>
          <w:sz w:val="26"/>
          <w:szCs w:val="26"/>
        </w:rPr>
      </w:pPr>
    </w:p>
    <w:p w:rsidR="00C943AC" w:rsidRDefault="00C943AC" w:rsidP="00C943AC">
      <w:pPr>
        <w:spacing w:line="360" w:lineRule="auto"/>
        <w:jc w:val="center"/>
        <w:rPr>
          <w:rFonts w:ascii="Arial" w:hAnsi="Arial" w:cs="Arial"/>
          <w:sz w:val="26"/>
          <w:szCs w:val="26"/>
        </w:rPr>
      </w:pPr>
      <w:r>
        <w:rPr>
          <w:rFonts w:ascii="Arial" w:hAnsi="Arial" w:cs="Arial"/>
          <w:sz w:val="26"/>
          <w:szCs w:val="26"/>
        </w:rPr>
        <w:t>MAGISTRADO HUGO VILLEGAS AQUINO.</w:t>
      </w:r>
    </w:p>
    <w:p w:rsidR="00C943AC" w:rsidRDefault="00C943AC" w:rsidP="00C943AC">
      <w:pPr>
        <w:spacing w:line="360" w:lineRule="auto"/>
        <w:rPr>
          <w:rFonts w:ascii="Arial" w:hAnsi="Arial" w:cs="Arial"/>
          <w:sz w:val="26"/>
          <w:szCs w:val="26"/>
        </w:rPr>
      </w:pPr>
    </w:p>
    <w:p w:rsidR="00C943AC" w:rsidRDefault="00C943AC" w:rsidP="00C943AC">
      <w:pPr>
        <w:spacing w:line="360" w:lineRule="auto"/>
        <w:rPr>
          <w:rFonts w:ascii="Arial" w:hAnsi="Arial" w:cs="Arial"/>
          <w:sz w:val="26"/>
          <w:szCs w:val="26"/>
        </w:rPr>
      </w:pPr>
    </w:p>
    <w:p w:rsidR="00C943AC" w:rsidRDefault="00C943AC" w:rsidP="00C943AC">
      <w:pPr>
        <w:spacing w:line="360" w:lineRule="auto"/>
        <w:jc w:val="center"/>
        <w:rPr>
          <w:rFonts w:ascii="Arial" w:hAnsi="Arial" w:cs="Arial"/>
          <w:sz w:val="26"/>
          <w:szCs w:val="26"/>
        </w:rPr>
      </w:pPr>
      <w:r>
        <w:rPr>
          <w:rFonts w:ascii="Arial" w:hAnsi="Arial" w:cs="Arial"/>
          <w:sz w:val="26"/>
          <w:szCs w:val="26"/>
        </w:rPr>
        <w:t>MAGISTRADO ENRIQUE PACHECO MARTÍNEZ.</w:t>
      </w:r>
    </w:p>
    <w:p w:rsidR="00C943AC" w:rsidRDefault="00680753" w:rsidP="00C943AC">
      <w:pPr>
        <w:spacing w:line="360" w:lineRule="auto"/>
        <w:rPr>
          <w:rFonts w:ascii="Arial" w:hAnsi="Arial" w:cs="Arial"/>
          <w:sz w:val="26"/>
          <w:szCs w:val="26"/>
        </w:rPr>
      </w:pPr>
      <w:r>
        <w:rPr>
          <w:rFonts w:ascii="Arial"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5772785</wp:posOffset>
                </wp:positionH>
                <wp:positionV relativeFrom="paragraph">
                  <wp:posOffset>603885</wp:posOffset>
                </wp:positionV>
                <wp:extent cx="1076325" cy="657225"/>
                <wp:effectExtent l="6350" t="9525" r="1270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10D0" w:rsidRDefault="005E10D0" w:rsidP="005E10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5pt;margin-top:47.5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">
                <v:textbox>
                  <w:txbxContent>
                    <w:p w:rsidR="005E10D0" w:rsidRDefault="005E10D0" w:rsidP="005E10D0">
                      <w:pPr>
                        <w:rPr>
                          <w:sz w:val="16"/>
                          <w:szCs w:val="16"/>
                        </w:rPr>
                      </w:pPr>
                      <w:r>
                        <w:rPr>
                          <w:sz w:val="16"/>
                          <w:szCs w:val="16"/>
                        </w:rPr>
                        <w:t>Datos personales protegidos por el Art. 116 de la LGTAIP y el Art. 56 de la LTAIPEO</w:t>
                      </w:r>
                    </w:p>
                  </w:txbxContent>
                </v:textbox>
              </v:shape>
            </w:pict>
          </mc:Fallback>
        </mc:AlternateContent>
      </w:r>
    </w:p>
    <w:p w:rsidR="00C943AC" w:rsidRDefault="00C943AC" w:rsidP="00C943AC">
      <w:pPr>
        <w:spacing w:line="360" w:lineRule="auto"/>
        <w:rPr>
          <w:rFonts w:ascii="Arial" w:hAnsi="Arial" w:cs="Arial"/>
          <w:sz w:val="26"/>
          <w:szCs w:val="26"/>
        </w:rPr>
      </w:pPr>
    </w:p>
    <w:p w:rsidR="00C943AC" w:rsidRDefault="00C943AC" w:rsidP="00C943AC">
      <w:pPr>
        <w:spacing w:line="360" w:lineRule="auto"/>
        <w:jc w:val="center"/>
        <w:rPr>
          <w:rFonts w:ascii="Arial" w:hAnsi="Arial" w:cs="Arial"/>
          <w:sz w:val="26"/>
          <w:szCs w:val="26"/>
        </w:rPr>
      </w:pPr>
      <w:r>
        <w:rPr>
          <w:rFonts w:ascii="Arial" w:hAnsi="Arial" w:cs="Arial"/>
          <w:sz w:val="26"/>
          <w:szCs w:val="26"/>
        </w:rPr>
        <w:t>MAGISTRADA MARÍA ELENA VILLA DE JARQUÍN</w:t>
      </w:r>
    </w:p>
    <w:p w:rsidR="00C943AC" w:rsidRDefault="00C943AC" w:rsidP="00C943AC">
      <w:pPr>
        <w:spacing w:line="360" w:lineRule="auto"/>
        <w:jc w:val="center"/>
        <w:rPr>
          <w:rFonts w:ascii="Arial" w:hAnsi="Arial" w:cs="Arial"/>
          <w:sz w:val="26"/>
          <w:szCs w:val="26"/>
        </w:rPr>
      </w:pPr>
    </w:p>
    <w:p w:rsidR="00C943AC" w:rsidRDefault="00C943AC" w:rsidP="00C943AC">
      <w:pPr>
        <w:spacing w:line="360" w:lineRule="auto"/>
        <w:jc w:val="center"/>
        <w:rPr>
          <w:rFonts w:ascii="Arial" w:hAnsi="Arial" w:cs="Arial"/>
          <w:sz w:val="26"/>
          <w:szCs w:val="26"/>
        </w:rPr>
      </w:pPr>
    </w:p>
    <w:p w:rsidR="00C943AC" w:rsidRDefault="00C943AC" w:rsidP="00C943AC">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C943AC" w:rsidRDefault="00C943AC" w:rsidP="00C943AC">
      <w:pPr>
        <w:rPr>
          <w:rFonts w:ascii="Arial" w:hAnsi="Arial" w:cs="Arial"/>
          <w:sz w:val="26"/>
          <w:szCs w:val="26"/>
        </w:rPr>
      </w:pPr>
    </w:p>
    <w:p w:rsidR="00C943AC" w:rsidRDefault="00C943AC" w:rsidP="00C943AC">
      <w:pPr>
        <w:rPr>
          <w:rFonts w:ascii="Arial" w:hAnsi="Arial" w:cs="Arial"/>
          <w:sz w:val="26"/>
          <w:szCs w:val="26"/>
        </w:rPr>
      </w:pPr>
    </w:p>
    <w:p w:rsidR="00C943AC" w:rsidRDefault="00C943AC" w:rsidP="00C943AC">
      <w:pPr>
        <w:rPr>
          <w:rFonts w:ascii="Arial" w:hAnsi="Arial" w:cs="Arial"/>
          <w:sz w:val="26"/>
          <w:szCs w:val="26"/>
        </w:rPr>
      </w:pPr>
    </w:p>
    <w:p w:rsidR="00C943AC" w:rsidRDefault="00C943AC" w:rsidP="00C943AC">
      <w:pPr>
        <w:pStyle w:val="Sinespaciado"/>
        <w:jc w:val="center"/>
        <w:rPr>
          <w:rFonts w:ascii="Arial" w:hAnsi="Arial" w:cs="Arial"/>
          <w:sz w:val="26"/>
          <w:szCs w:val="26"/>
        </w:rPr>
      </w:pPr>
      <w:r>
        <w:rPr>
          <w:rFonts w:ascii="Arial" w:hAnsi="Arial" w:cs="Arial"/>
          <w:sz w:val="26"/>
          <w:szCs w:val="26"/>
        </w:rPr>
        <w:t>LICENCIADA SANDRA PÉREZ CRUZ.</w:t>
      </w:r>
    </w:p>
    <w:p w:rsidR="00C943AC" w:rsidRDefault="00C943AC" w:rsidP="00C943AC">
      <w:pPr>
        <w:pStyle w:val="Sinespaciado"/>
        <w:jc w:val="center"/>
        <w:rPr>
          <w:rFonts w:ascii="Arial" w:hAnsi="Arial" w:cs="Arial"/>
          <w:sz w:val="26"/>
          <w:szCs w:val="26"/>
        </w:rPr>
      </w:pPr>
      <w:r>
        <w:rPr>
          <w:rFonts w:ascii="Arial" w:hAnsi="Arial" w:cs="Arial"/>
          <w:sz w:val="26"/>
          <w:szCs w:val="26"/>
        </w:rPr>
        <w:t>SECRETARIA GENERAL DE ACUERDOS.</w:t>
      </w:r>
    </w:p>
    <w:p w:rsidR="00C943AC" w:rsidRDefault="00C943AC" w:rsidP="00C943AC">
      <w:pPr>
        <w:spacing w:line="360" w:lineRule="auto"/>
        <w:rPr>
          <w:rFonts w:ascii="Arial" w:hAnsi="Arial" w:cs="Arial"/>
          <w:b/>
          <w:color w:val="1F497D"/>
          <w:sz w:val="18"/>
          <w:szCs w:val="18"/>
        </w:rPr>
      </w:pPr>
    </w:p>
    <w:p w:rsidR="00441483" w:rsidRPr="00F0637B" w:rsidRDefault="00441483" w:rsidP="00C943AC">
      <w:pPr>
        <w:spacing w:line="360" w:lineRule="auto"/>
        <w:ind w:firstLine="708"/>
        <w:jc w:val="both"/>
        <w:rPr>
          <w:rFonts w:ascii="Arial" w:hAnsi="Arial" w:cs="Arial"/>
          <w:b/>
          <w:sz w:val="26"/>
          <w:szCs w:val="26"/>
          <w:lang w:val="es-MX"/>
        </w:rPr>
      </w:pPr>
    </w:p>
    <w:sectPr w:rsidR="00441483" w:rsidRPr="00F0637B" w:rsidSect="004F3025">
      <w:headerReference w:type="default" r:id="rId6"/>
      <w:footerReference w:type="default" r:id="rId7"/>
      <w:pgSz w:w="12240" w:h="20160" w:code="5"/>
      <w:pgMar w:top="1134" w:right="1134"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9B" w:rsidRDefault="00FD259B" w:rsidP="00C01602">
      <w:pPr>
        <w:spacing w:after="0" w:line="240" w:lineRule="auto"/>
      </w:pPr>
      <w:r>
        <w:separator/>
      </w:r>
    </w:p>
  </w:endnote>
  <w:endnote w:type="continuationSeparator" w:id="0">
    <w:p w:rsidR="00FD259B" w:rsidRDefault="00FD259B" w:rsidP="00C0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D0" w:rsidRDefault="00680753">
    <w:pPr>
      <w:pStyle w:val="Piedepgina"/>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-1646555</wp:posOffset>
              </wp:positionH>
              <wp:positionV relativeFrom="paragraph">
                <wp:posOffset>-4825365</wp:posOffset>
              </wp:positionV>
              <wp:extent cx="1076325" cy="657225"/>
              <wp:effectExtent l="6985" t="11430" r="12065"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10D0" w:rsidRDefault="005E10D0" w:rsidP="005E10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9.65pt;margin-top:-379.9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">
              <v:textbox>
                <w:txbxContent>
                  <w:p w:rsidR="005E10D0" w:rsidRDefault="005E10D0" w:rsidP="005E10D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9B" w:rsidRDefault="00FD259B" w:rsidP="00C01602">
      <w:pPr>
        <w:spacing w:after="0" w:line="240" w:lineRule="auto"/>
      </w:pPr>
      <w:r>
        <w:separator/>
      </w:r>
    </w:p>
  </w:footnote>
  <w:footnote w:type="continuationSeparator" w:id="0">
    <w:p w:rsidR="00FD259B" w:rsidRDefault="00FD259B" w:rsidP="00C0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06" w:rsidRDefault="00EA2D06">
    <w:pPr>
      <w:pStyle w:val="Encabezado"/>
      <w:jc w:val="center"/>
    </w:pPr>
    <w:r>
      <w:fldChar w:fldCharType="begin"/>
    </w:r>
    <w:r>
      <w:instrText xml:space="preserve"> PAGE   \* MERGEFORMAT </w:instrText>
    </w:r>
    <w:r>
      <w:fldChar w:fldCharType="separate"/>
    </w:r>
    <w:r w:rsidR="00680753">
      <w:rPr>
        <w:noProof/>
      </w:rPr>
      <w:t>1</w:t>
    </w:r>
    <w:r>
      <w:fldChar w:fldCharType="end"/>
    </w:r>
  </w:p>
  <w:p w:rsidR="00EA2D06" w:rsidRDefault="00EA2D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E"/>
    <w:rsid w:val="00015C70"/>
    <w:rsid w:val="00022201"/>
    <w:rsid w:val="00073BE1"/>
    <w:rsid w:val="000954CB"/>
    <w:rsid w:val="000E0374"/>
    <w:rsid w:val="000F43B4"/>
    <w:rsid w:val="000F72BE"/>
    <w:rsid w:val="00101BE1"/>
    <w:rsid w:val="001050B2"/>
    <w:rsid w:val="00124A21"/>
    <w:rsid w:val="00134345"/>
    <w:rsid w:val="00144F32"/>
    <w:rsid w:val="001611FE"/>
    <w:rsid w:val="00161484"/>
    <w:rsid w:val="0016281F"/>
    <w:rsid w:val="001811FB"/>
    <w:rsid w:val="001E303C"/>
    <w:rsid w:val="001F165C"/>
    <w:rsid w:val="002071B3"/>
    <w:rsid w:val="00244920"/>
    <w:rsid w:val="00267EEF"/>
    <w:rsid w:val="00273D7E"/>
    <w:rsid w:val="00282CC1"/>
    <w:rsid w:val="00294334"/>
    <w:rsid w:val="002B0AE3"/>
    <w:rsid w:val="002B2EDD"/>
    <w:rsid w:val="002C22DD"/>
    <w:rsid w:val="002E28EB"/>
    <w:rsid w:val="002E4AC7"/>
    <w:rsid w:val="002F2059"/>
    <w:rsid w:val="0031597F"/>
    <w:rsid w:val="0033102E"/>
    <w:rsid w:val="00334F70"/>
    <w:rsid w:val="003506B6"/>
    <w:rsid w:val="003555CC"/>
    <w:rsid w:val="003570A8"/>
    <w:rsid w:val="00373E9F"/>
    <w:rsid w:val="003765B7"/>
    <w:rsid w:val="003812B8"/>
    <w:rsid w:val="003818F0"/>
    <w:rsid w:val="0039401F"/>
    <w:rsid w:val="003967F1"/>
    <w:rsid w:val="003A2FBC"/>
    <w:rsid w:val="003A4540"/>
    <w:rsid w:val="003B5362"/>
    <w:rsid w:val="003D1B53"/>
    <w:rsid w:val="003D4EC7"/>
    <w:rsid w:val="003E0421"/>
    <w:rsid w:val="003E18EA"/>
    <w:rsid w:val="003F6C33"/>
    <w:rsid w:val="004151B5"/>
    <w:rsid w:val="004157DF"/>
    <w:rsid w:val="004218E9"/>
    <w:rsid w:val="00425F68"/>
    <w:rsid w:val="00432585"/>
    <w:rsid w:val="004349E0"/>
    <w:rsid w:val="004406C7"/>
    <w:rsid w:val="00441483"/>
    <w:rsid w:val="00442889"/>
    <w:rsid w:val="00444586"/>
    <w:rsid w:val="00455815"/>
    <w:rsid w:val="004606D4"/>
    <w:rsid w:val="0046455D"/>
    <w:rsid w:val="004807C6"/>
    <w:rsid w:val="00484BFA"/>
    <w:rsid w:val="004B25D0"/>
    <w:rsid w:val="004D7002"/>
    <w:rsid w:val="004E729C"/>
    <w:rsid w:val="004F1561"/>
    <w:rsid w:val="004F3025"/>
    <w:rsid w:val="004F3C7D"/>
    <w:rsid w:val="00501F1D"/>
    <w:rsid w:val="00506A82"/>
    <w:rsid w:val="005179A3"/>
    <w:rsid w:val="00551E29"/>
    <w:rsid w:val="00552DB8"/>
    <w:rsid w:val="0055301F"/>
    <w:rsid w:val="00561F7F"/>
    <w:rsid w:val="00562E51"/>
    <w:rsid w:val="005714A6"/>
    <w:rsid w:val="0057410F"/>
    <w:rsid w:val="005B0070"/>
    <w:rsid w:val="005C1DCA"/>
    <w:rsid w:val="005C4CCC"/>
    <w:rsid w:val="005D41D0"/>
    <w:rsid w:val="005D6115"/>
    <w:rsid w:val="005E10D0"/>
    <w:rsid w:val="005F19BA"/>
    <w:rsid w:val="006065B9"/>
    <w:rsid w:val="00637F2C"/>
    <w:rsid w:val="00641C16"/>
    <w:rsid w:val="00643676"/>
    <w:rsid w:val="00644F93"/>
    <w:rsid w:val="006461E7"/>
    <w:rsid w:val="00665B24"/>
    <w:rsid w:val="0066723C"/>
    <w:rsid w:val="00671E90"/>
    <w:rsid w:val="00675686"/>
    <w:rsid w:val="00680753"/>
    <w:rsid w:val="006821AE"/>
    <w:rsid w:val="00682781"/>
    <w:rsid w:val="00684AD2"/>
    <w:rsid w:val="00686800"/>
    <w:rsid w:val="00691F42"/>
    <w:rsid w:val="0069608C"/>
    <w:rsid w:val="006A5AD7"/>
    <w:rsid w:val="006C674C"/>
    <w:rsid w:val="006E1C77"/>
    <w:rsid w:val="007025A1"/>
    <w:rsid w:val="007257ED"/>
    <w:rsid w:val="0074078C"/>
    <w:rsid w:val="00763322"/>
    <w:rsid w:val="00766175"/>
    <w:rsid w:val="0079301F"/>
    <w:rsid w:val="007B59B6"/>
    <w:rsid w:val="007C24D5"/>
    <w:rsid w:val="007C50B2"/>
    <w:rsid w:val="007E266A"/>
    <w:rsid w:val="007F44A1"/>
    <w:rsid w:val="007F610E"/>
    <w:rsid w:val="00805520"/>
    <w:rsid w:val="00811752"/>
    <w:rsid w:val="00823C1C"/>
    <w:rsid w:val="00841305"/>
    <w:rsid w:val="00847DC2"/>
    <w:rsid w:val="008552C6"/>
    <w:rsid w:val="00870151"/>
    <w:rsid w:val="00896ED0"/>
    <w:rsid w:val="008A4710"/>
    <w:rsid w:val="008B350F"/>
    <w:rsid w:val="008B555B"/>
    <w:rsid w:val="008B60F8"/>
    <w:rsid w:val="008C288A"/>
    <w:rsid w:val="008F62AA"/>
    <w:rsid w:val="00921954"/>
    <w:rsid w:val="00924D17"/>
    <w:rsid w:val="00927452"/>
    <w:rsid w:val="00933718"/>
    <w:rsid w:val="009574FD"/>
    <w:rsid w:val="00976EAD"/>
    <w:rsid w:val="0098302C"/>
    <w:rsid w:val="009B40EF"/>
    <w:rsid w:val="009D2432"/>
    <w:rsid w:val="009F72D3"/>
    <w:rsid w:val="00A00689"/>
    <w:rsid w:val="00A1055D"/>
    <w:rsid w:val="00A250A5"/>
    <w:rsid w:val="00A45501"/>
    <w:rsid w:val="00A57AB1"/>
    <w:rsid w:val="00A9610E"/>
    <w:rsid w:val="00AC045F"/>
    <w:rsid w:val="00AC3E82"/>
    <w:rsid w:val="00AC6F40"/>
    <w:rsid w:val="00AD6415"/>
    <w:rsid w:val="00AF3BF7"/>
    <w:rsid w:val="00B25137"/>
    <w:rsid w:val="00B64BBE"/>
    <w:rsid w:val="00B7530D"/>
    <w:rsid w:val="00B81019"/>
    <w:rsid w:val="00BA1099"/>
    <w:rsid w:val="00BA4BF1"/>
    <w:rsid w:val="00BB4694"/>
    <w:rsid w:val="00BB4B2B"/>
    <w:rsid w:val="00BC4B35"/>
    <w:rsid w:val="00BD7745"/>
    <w:rsid w:val="00BE1C3F"/>
    <w:rsid w:val="00BF3E95"/>
    <w:rsid w:val="00BF4776"/>
    <w:rsid w:val="00BF5C2C"/>
    <w:rsid w:val="00BF6BCB"/>
    <w:rsid w:val="00C0159F"/>
    <w:rsid w:val="00C01602"/>
    <w:rsid w:val="00C16F93"/>
    <w:rsid w:val="00C31E94"/>
    <w:rsid w:val="00C61CE7"/>
    <w:rsid w:val="00C718F1"/>
    <w:rsid w:val="00C77CF7"/>
    <w:rsid w:val="00C86908"/>
    <w:rsid w:val="00C943AC"/>
    <w:rsid w:val="00C96E98"/>
    <w:rsid w:val="00CA1366"/>
    <w:rsid w:val="00CA1AB2"/>
    <w:rsid w:val="00CA2D77"/>
    <w:rsid w:val="00CB7A82"/>
    <w:rsid w:val="00CC2DAE"/>
    <w:rsid w:val="00CD77AE"/>
    <w:rsid w:val="00CE389C"/>
    <w:rsid w:val="00CE6FA5"/>
    <w:rsid w:val="00CE7CB9"/>
    <w:rsid w:val="00D06619"/>
    <w:rsid w:val="00D16B8B"/>
    <w:rsid w:val="00D216E1"/>
    <w:rsid w:val="00D2502E"/>
    <w:rsid w:val="00D4278C"/>
    <w:rsid w:val="00D5286F"/>
    <w:rsid w:val="00D650E8"/>
    <w:rsid w:val="00D70D5A"/>
    <w:rsid w:val="00DD3B1B"/>
    <w:rsid w:val="00DF5924"/>
    <w:rsid w:val="00E33D41"/>
    <w:rsid w:val="00E4097D"/>
    <w:rsid w:val="00E4435D"/>
    <w:rsid w:val="00E53EFE"/>
    <w:rsid w:val="00E61FDF"/>
    <w:rsid w:val="00E7147C"/>
    <w:rsid w:val="00E80C96"/>
    <w:rsid w:val="00EA2D06"/>
    <w:rsid w:val="00EF4226"/>
    <w:rsid w:val="00EF5DE5"/>
    <w:rsid w:val="00F0186E"/>
    <w:rsid w:val="00F0637B"/>
    <w:rsid w:val="00F079EF"/>
    <w:rsid w:val="00F23C95"/>
    <w:rsid w:val="00F23FFD"/>
    <w:rsid w:val="00F33A3C"/>
    <w:rsid w:val="00F37F18"/>
    <w:rsid w:val="00F4377C"/>
    <w:rsid w:val="00F43A4A"/>
    <w:rsid w:val="00F70E2E"/>
    <w:rsid w:val="00F71034"/>
    <w:rsid w:val="00F9095E"/>
    <w:rsid w:val="00FB0363"/>
    <w:rsid w:val="00FD0B5F"/>
    <w:rsid w:val="00FD259B"/>
    <w:rsid w:val="00FE10F7"/>
    <w:rsid w:val="00FE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B8721-17A7-4553-93DB-390A21E8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821A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6821A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6821AE"/>
    <w:rPr>
      <w:rFonts w:ascii="Times New Roman" w:eastAsia="PMingLiU" w:hAnsi="Times New Roman" w:cs="Times New Roman"/>
      <w:sz w:val="24"/>
      <w:szCs w:val="24"/>
      <w:lang w:val="es-ES" w:eastAsia="zh-TW"/>
    </w:rPr>
  </w:style>
  <w:style w:type="paragraph" w:styleId="Sangradetextonormal">
    <w:name w:val="Body Text Indent"/>
    <w:basedOn w:val="Normal"/>
    <w:link w:val="SangradetextonormalCar"/>
    <w:uiPriority w:val="99"/>
    <w:semiHidden/>
    <w:unhideWhenUsed/>
    <w:rsid w:val="006821AE"/>
    <w:pPr>
      <w:spacing w:after="120"/>
      <w:ind w:left="283"/>
    </w:pPr>
  </w:style>
  <w:style w:type="character" w:customStyle="1" w:styleId="SangradetextonormalCar">
    <w:name w:val="Sangría de texto normal Car"/>
    <w:link w:val="Sangradetextonormal"/>
    <w:uiPriority w:val="99"/>
    <w:semiHidden/>
    <w:rsid w:val="006821AE"/>
    <w:rPr>
      <w:lang w:val="es-ES"/>
    </w:rPr>
  </w:style>
  <w:style w:type="paragraph" w:styleId="Sinespaciado">
    <w:name w:val="No Spacing"/>
    <w:uiPriority w:val="1"/>
    <w:qFormat/>
    <w:rsid w:val="00441483"/>
    <w:rPr>
      <w:sz w:val="22"/>
      <w:szCs w:val="22"/>
      <w:lang w:val="es-ES" w:eastAsia="en-US"/>
    </w:rPr>
  </w:style>
  <w:style w:type="paragraph" w:styleId="Prrafodelista">
    <w:name w:val="List Paragraph"/>
    <w:basedOn w:val="Normal"/>
    <w:uiPriority w:val="34"/>
    <w:qFormat/>
    <w:rsid w:val="00441483"/>
    <w:pPr>
      <w:ind w:left="720"/>
      <w:contextualSpacing/>
    </w:pPr>
  </w:style>
  <w:style w:type="paragraph" w:styleId="Piedepgina">
    <w:name w:val="footer"/>
    <w:basedOn w:val="Normal"/>
    <w:link w:val="PiedepginaCar"/>
    <w:uiPriority w:val="99"/>
    <w:unhideWhenUsed/>
    <w:rsid w:val="00B64BBE"/>
    <w:pPr>
      <w:tabs>
        <w:tab w:val="center" w:pos="4419"/>
        <w:tab w:val="right" w:pos="8838"/>
      </w:tabs>
    </w:pPr>
  </w:style>
  <w:style w:type="character" w:customStyle="1" w:styleId="PiedepginaCar">
    <w:name w:val="Pie de página Car"/>
    <w:link w:val="Piedepgina"/>
    <w:uiPriority w:val="99"/>
    <w:rsid w:val="00B64BB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TCA-SALASUP-SOCORRO</dc:creator>
  <cp:keywords/>
  <cp:lastModifiedBy>Luis Fernando Rendón Nucamendi</cp:lastModifiedBy>
  <cp:revision>2</cp:revision>
  <cp:lastPrinted>2018-08-24T15:53:00Z</cp:lastPrinted>
  <dcterms:created xsi:type="dcterms:W3CDTF">2019-01-06T01:09:00Z</dcterms:created>
  <dcterms:modified xsi:type="dcterms:W3CDTF">2019-01-06T01:09:00Z</dcterms:modified>
</cp:coreProperties>
</file>