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E72679">
        <w:rPr>
          <w:rFonts w:cs="Arial"/>
          <w:b/>
          <w:i/>
          <w:sz w:val="22"/>
          <w:szCs w:val="22"/>
        </w:rPr>
        <w:t>2</w:t>
      </w:r>
      <w:r w:rsidR="002A0256">
        <w:rPr>
          <w:rFonts w:cs="Arial"/>
          <w:b/>
          <w:i/>
          <w:sz w:val="22"/>
          <w:szCs w:val="22"/>
        </w:rPr>
        <w:t>2</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7F7673">
        <w:rPr>
          <w:rFonts w:cs="Arial"/>
          <w:sz w:val="24"/>
          <w:szCs w:val="24"/>
        </w:rPr>
        <w:t>********** ********** **********</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E42D35">
        <w:rPr>
          <w:rFonts w:ascii="Arial" w:hAnsi="Arial" w:cs="Arial"/>
          <w:b/>
          <w:sz w:val="24"/>
          <w:szCs w:val="24"/>
        </w:rPr>
        <w:t>26 VEINTISÉIS</w:t>
      </w:r>
      <w:r w:rsidR="000476EE">
        <w:rPr>
          <w:rFonts w:ascii="Arial" w:hAnsi="Arial" w:cs="Arial"/>
          <w:b/>
          <w:sz w:val="24"/>
          <w:szCs w:val="24"/>
        </w:rPr>
        <w:t xml:space="preserve"> DE ENERO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72679">
        <w:rPr>
          <w:rFonts w:ascii="Arial" w:hAnsi="Arial" w:cs="Arial"/>
          <w:b/>
          <w:sz w:val="24"/>
          <w:szCs w:val="24"/>
          <w:lang w:val="es-MX"/>
        </w:rPr>
        <w:t>12</w:t>
      </w:r>
      <w:r w:rsidR="002A0256">
        <w:rPr>
          <w:rFonts w:ascii="Arial" w:hAnsi="Arial" w:cs="Arial"/>
          <w:b/>
          <w:sz w:val="24"/>
          <w:szCs w:val="24"/>
          <w:lang w:val="es-MX"/>
        </w:rPr>
        <w:t>2</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7F7673">
        <w:rPr>
          <w:rFonts w:ascii="Arial" w:hAnsi="Arial" w:cs="Arial"/>
          <w:sz w:val="24"/>
          <w:szCs w:val="24"/>
        </w:rPr>
        <w:t>********** ********** **********</w:t>
      </w:r>
      <w:r w:rsidR="00716B4A">
        <w:rPr>
          <w:rFonts w:cs="Arial"/>
          <w:b/>
          <w:i/>
          <w:sz w:val="22"/>
          <w:szCs w:val="22"/>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E51F5A"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DD1F7C8" wp14:editId="1B1B760C">
                <wp:simplePos x="0" y="0"/>
                <wp:positionH relativeFrom="column">
                  <wp:posOffset>-1256030</wp:posOffset>
                </wp:positionH>
                <wp:positionV relativeFrom="paragraph">
                  <wp:posOffset>2326640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51F5A" w:rsidRDefault="00E51F5A" w:rsidP="00E51F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8.9pt;margin-top:183.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">
                <v:textbox>
                  <w:txbxContent>
                    <w:p w:rsidR="00E51F5A" w:rsidRDefault="00E51F5A" w:rsidP="00E51F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E72679">
        <w:rPr>
          <w:rFonts w:ascii="Arial" w:hAnsi="Arial" w:cs="Arial"/>
          <w:color w:val="000000"/>
          <w:sz w:val="24"/>
          <w:szCs w:val="24"/>
        </w:rPr>
        <w:t xml:space="preserve">26 veintiséis de </w:t>
      </w:r>
      <w:r w:rsidR="0042187B">
        <w:rPr>
          <w:rFonts w:ascii="Arial" w:hAnsi="Arial" w:cs="Arial"/>
          <w:color w:val="000000"/>
          <w:sz w:val="24"/>
          <w:szCs w:val="24"/>
        </w:rPr>
        <w:t>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7F7673">
        <w:rPr>
          <w:rFonts w:ascii="Arial" w:hAnsi="Arial" w:cs="Arial"/>
          <w:sz w:val="24"/>
          <w:szCs w:val="24"/>
        </w:rPr>
        <w:t>********** ********** **********</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7F7673">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w:t>
      </w:r>
      <w:r w:rsidR="002925FC">
        <w:rPr>
          <w:rFonts w:ascii="Arial" w:hAnsi="Arial" w:cs="Arial"/>
          <w:color w:val="000000"/>
          <w:sz w:val="24"/>
          <w:szCs w:val="24"/>
        </w:rPr>
        <w:t>tivo, salvo prueba en contrario.</w:t>
      </w:r>
      <w:r w:rsidR="002A0256">
        <w:rPr>
          <w:rFonts w:ascii="Arial" w:hAnsi="Arial" w:cs="Arial"/>
          <w:color w:val="000000"/>
          <w:sz w:val="24"/>
          <w:szCs w:val="24"/>
        </w:rPr>
        <w:t xml:space="preserve"> - - -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2A0256">
        <w:rPr>
          <w:rFonts w:ascii="Arial" w:hAnsi="Arial" w:cs="Arial"/>
          <w:sz w:val="24"/>
          <w:szCs w:val="24"/>
        </w:rPr>
        <w:t xml:space="preserve">14 catorce de diciembre </w:t>
      </w:r>
      <w:r w:rsidR="00977577">
        <w:rPr>
          <w:rFonts w:ascii="Arial" w:hAnsi="Arial" w:cs="Arial"/>
          <w:sz w:val="24"/>
          <w:szCs w:val="24"/>
        </w:rPr>
        <w:t>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2925FC">
        <w:rPr>
          <w:rFonts w:ascii="Arial" w:hAnsi="Arial" w:cs="Arial"/>
          <w:sz w:val="24"/>
          <w:szCs w:val="24"/>
        </w:rPr>
        <w:t xml:space="preserve"> las pruebas ofrecidas y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para los efectos legales correspondientes. Asimismo</w:t>
      </w:r>
      <w:r w:rsidR="002925FC">
        <w:rPr>
          <w:rFonts w:ascii="Arial" w:hAnsi="Arial" w:cs="Arial"/>
          <w:sz w:val="24"/>
          <w:szCs w:val="24"/>
        </w:rPr>
        <w:t>,</w:t>
      </w:r>
      <w:r w:rsidR="0066220A">
        <w:rPr>
          <w:rFonts w:ascii="Arial" w:hAnsi="Arial" w:cs="Arial"/>
          <w:sz w:val="24"/>
          <w:szCs w:val="24"/>
        </w:rPr>
        <w:t xml:space="preserve">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E72679">
        <w:rPr>
          <w:rFonts w:ascii="Arial" w:hAnsi="Arial" w:cs="Arial"/>
          <w:sz w:val="24"/>
          <w:szCs w:val="24"/>
          <w:lang w:val="es-MX"/>
        </w:rPr>
        <w:t xml:space="preserve">26 veintiséis de </w:t>
      </w:r>
      <w:r w:rsidR="000F2596">
        <w:rPr>
          <w:rFonts w:ascii="Arial" w:hAnsi="Arial" w:cs="Arial"/>
          <w:sz w:val="24"/>
          <w:szCs w:val="24"/>
          <w:lang w:val="es-MX"/>
        </w:rPr>
        <w:t>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w:t>
      </w:r>
      <w:r w:rsidR="004045BC" w:rsidRPr="006755D4">
        <w:rPr>
          <w:rFonts w:ascii="Arial" w:hAnsi="Arial" w:cs="Arial"/>
          <w:bCs/>
          <w:sz w:val="24"/>
          <w:szCs w:val="24"/>
          <w:lang w:val="es-ES"/>
        </w:rPr>
        <w:lastRenderedPageBreak/>
        <w:t xml:space="preserve">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Default="002159A2" w:rsidP="002925F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2925FC" w:rsidRPr="006755D4">
        <w:rPr>
          <w:rFonts w:ascii="Arial" w:hAnsi="Arial" w:cs="Arial"/>
          <w:b/>
          <w:bCs/>
          <w:color w:val="000000"/>
          <w:sz w:val="24"/>
          <w:szCs w:val="24"/>
        </w:rPr>
        <w:t>.</w:t>
      </w:r>
      <w:r w:rsidR="002925FC" w:rsidRPr="006755D4">
        <w:rPr>
          <w:rFonts w:ascii="Arial" w:hAnsi="Arial" w:cs="Arial"/>
          <w:color w:val="000000"/>
          <w:sz w:val="24"/>
          <w:szCs w:val="24"/>
        </w:rPr>
        <w:t xml:space="preserve"> </w:t>
      </w:r>
      <w:r w:rsidR="002925FC">
        <w:rPr>
          <w:rFonts w:ascii="Arial" w:hAnsi="Arial" w:cs="Arial"/>
          <w:color w:val="000000"/>
          <w:sz w:val="24"/>
          <w:szCs w:val="24"/>
        </w:rPr>
        <w:t>Esta Tercera S</w:t>
      </w:r>
      <w:r w:rsidR="002925FC" w:rsidRPr="006755D4">
        <w:rPr>
          <w:rFonts w:ascii="Arial" w:hAnsi="Arial" w:cs="Arial"/>
          <w:color w:val="000000"/>
          <w:sz w:val="24"/>
          <w:szCs w:val="24"/>
        </w:rPr>
        <w:t>ala</w:t>
      </w:r>
      <w:r w:rsidR="002925FC">
        <w:rPr>
          <w:rFonts w:ascii="Arial" w:hAnsi="Arial" w:cs="Arial"/>
          <w:color w:val="000000"/>
          <w:sz w:val="24"/>
          <w:szCs w:val="24"/>
        </w:rPr>
        <w:t xml:space="preserve"> Unitaria</w:t>
      </w:r>
      <w:r w:rsidR="002925FC" w:rsidRPr="006755D4">
        <w:rPr>
          <w:rFonts w:ascii="Arial" w:hAnsi="Arial" w:cs="Arial"/>
          <w:color w:val="000000"/>
          <w:sz w:val="24"/>
          <w:szCs w:val="24"/>
        </w:rPr>
        <w:t xml:space="preserve"> de </w:t>
      </w:r>
      <w:r w:rsidR="002925FC">
        <w:rPr>
          <w:rFonts w:ascii="Arial" w:hAnsi="Arial" w:cs="Arial"/>
          <w:color w:val="000000"/>
          <w:sz w:val="24"/>
          <w:szCs w:val="24"/>
        </w:rPr>
        <w:t>P</w:t>
      </w:r>
      <w:r w:rsidR="002925FC" w:rsidRPr="006755D4">
        <w:rPr>
          <w:rFonts w:ascii="Arial" w:hAnsi="Arial" w:cs="Arial"/>
          <w:color w:val="000000"/>
          <w:sz w:val="24"/>
          <w:szCs w:val="24"/>
        </w:rPr>
        <w:t xml:space="preserve">rimera </w:t>
      </w:r>
      <w:r w:rsidR="002925FC">
        <w:rPr>
          <w:rFonts w:ascii="Arial" w:hAnsi="Arial" w:cs="Arial"/>
          <w:color w:val="000000"/>
          <w:sz w:val="24"/>
          <w:szCs w:val="24"/>
        </w:rPr>
        <w:t>I</w:t>
      </w:r>
      <w:r w:rsidR="002925FC" w:rsidRPr="006755D4">
        <w:rPr>
          <w:rFonts w:ascii="Arial" w:hAnsi="Arial" w:cs="Arial"/>
          <w:color w:val="000000"/>
          <w:sz w:val="24"/>
          <w:szCs w:val="24"/>
        </w:rPr>
        <w:t>nstancia del Tribunal de lo C</w:t>
      </w:r>
      <w:r w:rsidR="002925FC">
        <w:rPr>
          <w:rFonts w:ascii="Arial" w:hAnsi="Arial" w:cs="Arial"/>
          <w:color w:val="000000"/>
          <w:sz w:val="24"/>
          <w:szCs w:val="24"/>
        </w:rPr>
        <w:t>ontencioso Administrativo y de C</w:t>
      </w:r>
      <w:r w:rsidR="002925FC" w:rsidRPr="006755D4">
        <w:rPr>
          <w:rFonts w:ascii="Arial" w:hAnsi="Arial" w:cs="Arial"/>
          <w:color w:val="000000"/>
          <w:sz w:val="24"/>
          <w:szCs w:val="24"/>
        </w:rPr>
        <w:t>uentas del Poder Judicial del Estado, es competente para conocer y resolver del presente juicio, con fundamento en l</w:t>
      </w:r>
      <w:r w:rsidR="002925FC">
        <w:rPr>
          <w:rFonts w:ascii="Arial" w:hAnsi="Arial" w:cs="Arial"/>
          <w:color w:val="000000"/>
          <w:sz w:val="24"/>
          <w:szCs w:val="24"/>
        </w:rPr>
        <w:t>os</w:t>
      </w:r>
      <w:r w:rsidR="002925FC" w:rsidRPr="006755D4">
        <w:rPr>
          <w:rFonts w:ascii="Arial" w:hAnsi="Arial" w:cs="Arial"/>
          <w:color w:val="000000"/>
          <w:sz w:val="24"/>
          <w:szCs w:val="24"/>
        </w:rPr>
        <w:t xml:space="preserve"> artículos 145, 146 y 149 fracción I inciso c) de la Ley Orgánica del Poder Judicial del Gobierno del Estado </w:t>
      </w:r>
      <w:r w:rsidR="002925FC" w:rsidRPr="006755D4">
        <w:rPr>
          <w:rFonts w:ascii="Arial" w:hAnsi="Arial" w:cs="Arial"/>
          <w:bCs/>
          <w:color w:val="000000"/>
          <w:sz w:val="24"/>
          <w:szCs w:val="24"/>
          <w:lang w:val="es-ES"/>
        </w:rPr>
        <w:t>y los</w:t>
      </w:r>
      <w:r w:rsidR="002925FC" w:rsidRPr="006755D4">
        <w:rPr>
          <w:rFonts w:ascii="Arial" w:hAnsi="Arial" w:cs="Arial"/>
          <w:bCs/>
          <w:color w:val="FF0000"/>
          <w:sz w:val="24"/>
          <w:szCs w:val="24"/>
          <w:lang w:val="es-ES"/>
        </w:rPr>
        <w:t xml:space="preserve"> </w:t>
      </w:r>
      <w:r w:rsidR="002925FC" w:rsidRPr="006755D4">
        <w:rPr>
          <w:rFonts w:ascii="Arial" w:hAnsi="Arial" w:cs="Arial"/>
          <w:bCs/>
          <w:color w:val="000000"/>
          <w:sz w:val="24"/>
          <w:szCs w:val="24"/>
          <w:lang w:val="es-ES"/>
        </w:rPr>
        <w:t xml:space="preserve">numerales </w:t>
      </w:r>
      <w:r w:rsidR="002925FC">
        <w:rPr>
          <w:rFonts w:ascii="Arial" w:hAnsi="Arial" w:cs="Arial"/>
          <w:bCs/>
          <w:color w:val="000000"/>
          <w:sz w:val="24"/>
          <w:szCs w:val="24"/>
          <w:lang w:val="es-ES"/>
        </w:rPr>
        <w:t>119</w:t>
      </w:r>
      <w:r w:rsidR="002925FC" w:rsidRPr="006755D4">
        <w:rPr>
          <w:rFonts w:ascii="Arial" w:hAnsi="Arial" w:cs="Arial"/>
          <w:bCs/>
          <w:color w:val="000000"/>
          <w:sz w:val="24"/>
          <w:szCs w:val="24"/>
          <w:lang w:val="es-ES"/>
        </w:rPr>
        <w:t xml:space="preserve">, </w:t>
      </w:r>
      <w:r w:rsidR="002925FC">
        <w:rPr>
          <w:rFonts w:ascii="Arial" w:hAnsi="Arial" w:cs="Arial"/>
          <w:bCs/>
          <w:color w:val="000000"/>
          <w:sz w:val="24"/>
          <w:szCs w:val="24"/>
          <w:lang w:val="es-ES"/>
        </w:rPr>
        <w:t>120</w:t>
      </w:r>
      <w:r w:rsidR="002925FC" w:rsidRPr="006755D4">
        <w:rPr>
          <w:rFonts w:ascii="Arial" w:hAnsi="Arial" w:cs="Arial"/>
          <w:bCs/>
          <w:color w:val="000000"/>
          <w:sz w:val="24"/>
          <w:szCs w:val="24"/>
          <w:lang w:val="es-ES"/>
        </w:rPr>
        <w:t xml:space="preserve">, </w:t>
      </w:r>
      <w:r w:rsidR="002925FC">
        <w:rPr>
          <w:rFonts w:ascii="Arial" w:hAnsi="Arial" w:cs="Arial"/>
          <w:bCs/>
          <w:color w:val="000000"/>
          <w:sz w:val="24"/>
          <w:szCs w:val="24"/>
          <w:lang w:val="es-ES"/>
        </w:rPr>
        <w:t>129</w:t>
      </w:r>
      <w:r w:rsidR="002925FC" w:rsidRPr="006755D4">
        <w:rPr>
          <w:rFonts w:ascii="Arial" w:hAnsi="Arial" w:cs="Arial"/>
          <w:bCs/>
          <w:color w:val="000000"/>
          <w:sz w:val="24"/>
          <w:szCs w:val="24"/>
          <w:lang w:val="es-ES"/>
        </w:rPr>
        <w:t xml:space="preserve">,  </w:t>
      </w:r>
      <w:r w:rsidR="002925FC">
        <w:rPr>
          <w:rFonts w:ascii="Arial" w:hAnsi="Arial" w:cs="Arial"/>
          <w:bCs/>
          <w:color w:val="000000"/>
          <w:sz w:val="24"/>
          <w:szCs w:val="24"/>
          <w:lang w:val="es-ES"/>
        </w:rPr>
        <w:t>132 y 132</w:t>
      </w:r>
      <w:r w:rsidR="002925FC" w:rsidRPr="006755D4">
        <w:rPr>
          <w:rFonts w:ascii="Arial" w:hAnsi="Arial" w:cs="Arial"/>
          <w:bCs/>
          <w:color w:val="000000"/>
          <w:sz w:val="24"/>
          <w:szCs w:val="24"/>
          <w:lang w:val="es-ES"/>
        </w:rPr>
        <w:t xml:space="preserve">, fracción </w:t>
      </w:r>
      <w:r w:rsidR="002925FC">
        <w:rPr>
          <w:rFonts w:ascii="Arial" w:hAnsi="Arial" w:cs="Arial"/>
          <w:bCs/>
          <w:color w:val="000000"/>
          <w:sz w:val="24"/>
          <w:szCs w:val="24"/>
          <w:lang w:val="es-ES"/>
        </w:rPr>
        <w:t>II</w:t>
      </w:r>
      <w:r w:rsidR="002925FC" w:rsidRPr="006755D4">
        <w:rPr>
          <w:rFonts w:ascii="Arial" w:hAnsi="Arial" w:cs="Arial"/>
          <w:bCs/>
          <w:color w:val="000000"/>
          <w:sz w:val="24"/>
          <w:szCs w:val="24"/>
          <w:lang w:val="es-ES"/>
        </w:rPr>
        <w:t>, y 1</w:t>
      </w:r>
      <w:r w:rsidR="002925FC">
        <w:rPr>
          <w:rFonts w:ascii="Arial" w:hAnsi="Arial" w:cs="Arial"/>
          <w:bCs/>
          <w:color w:val="000000"/>
          <w:sz w:val="24"/>
          <w:szCs w:val="24"/>
          <w:lang w:val="es-ES"/>
        </w:rPr>
        <w:t>46</w:t>
      </w:r>
      <w:r w:rsidR="002925FC" w:rsidRPr="006755D4">
        <w:rPr>
          <w:rFonts w:ascii="Arial" w:hAnsi="Arial" w:cs="Arial"/>
          <w:bCs/>
          <w:color w:val="000000"/>
          <w:sz w:val="24"/>
          <w:szCs w:val="24"/>
          <w:lang w:val="es-ES"/>
        </w:rPr>
        <w:t xml:space="preserve"> de la Ley de </w:t>
      </w:r>
      <w:r w:rsidR="002925FC">
        <w:rPr>
          <w:rFonts w:ascii="Arial" w:hAnsi="Arial" w:cs="Arial"/>
          <w:bCs/>
          <w:color w:val="000000"/>
          <w:sz w:val="24"/>
          <w:szCs w:val="24"/>
          <w:lang w:val="es-ES"/>
        </w:rPr>
        <w:t xml:space="preserve">Procedimiento y Justicia </w:t>
      </w:r>
      <w:r w:rsidR="002925FC" w:rsidRPr="006755D4">
        <w:rPr>
          <w:rFonts w:ascii="Arial" w:hAnsi="Arial" w:cs="Arial"/>
          <w:bCs/>
          <w:color w:val="000000"/>
          <w:sz w:val="24"/>
          <w:szCs w:val="24"/>
          <w:lang w:val="es-ES"/>
        </w:rPr>
        <w:t xml:space="preserve">Administrativa para el Estado de Oaxaca, por tratarse </w:t>
      </w:r>
      <w:r w:rsidR="002925FC" w:rsidRPr="006755D4">
        <w:rPr>
          <w:rFonts w:ascii="Arial" w:hAnsi="Arial" w:cs="Arial"/>
          <w:color w:val="000000"/>
          <w:sz w:val="24"/>
          <w:szCs w:val="24"/>
        </w:rPr>
        <w:t>de un acto atribuido a autoridad</w:t>
      </w:r>
      <w:r w:rsidR="002925FC">
        <w:rPr>
          <w:rFonts w:ascii="Arial" w:hAnsi="Arial" w:cs="Arial"/>
          <w:sz w:val="24"/>
          <w:szCs w:val="24"/>
        </w:rPr>
        <w:t xml:space="preserve"> fiscal</w:t>
      </w:r>
      <w:r w:rsidR="002925FC" w:rsidRPr="006755D4">
        <w:rPr>
          <w:rFonts w:ascii="Arial" w:hAnsi="Arial" w:cs="Arial"/>
          <w:sz w:val="24"/>
          <w:szCs w:val="24"/>
        </w:rPr>
        <w:t xml:space="preserve"> de carácter estatal, ya que de conformidad con el último de los preceptos citados, este Tribunal tiene jurisdicción en todo el territorio del Estado</w:t>
      </w:r>
      <w:r w:rsidR="002925FC">
        <w:rPr>
          <w:rFonts w:ascii="Arial" w:hAnsi="Arial" w:cs="Arial"/>
          <w:sz w:val="24"/>
          <w:szCs w:val="24"/>
        </w:rPr>
        <w:t xml:space="preserve">. </w:t>
      </w:r>
      <w:r w:rsidR="002925FC" w:rsidRPr="006755D4">
        <w:rPr>
          <w:rFonts w:ascii="Arial" w:hAnsi="Arial" w:cs="Arial"/>
          <w:sz w:val="24"/>
          <w:szCs w:val="24"/>
        </w:rPr>
        <w:t>-  - - - - - - - - - - - - - - - - - - - - - - - - - - - - -</w:t>
      </w:r>
      <w:r w:rsidR="003E1040">
        <w:rPr>
          <w:rFonts w:ascii="Arial" w:hAnsi="Arial" w:cs="Arial"/>
          <w:sz w:val="24"/>
          <w:szCs w:val="24"/>
        </w:rPr>
        <w:t xml:space="preserve"> - - - - - - - -</w:t>
      </w:r>
    </w:p>
    <w:p w:rsidR="002925FC" w:rsidRPr="006755D4" w:rsidRDefault="002925FC" w:rsidP="002925FC">
      <w:pPr>
        <w:spacing w:line="360" w:lineRule="auto"/>
        <w:ind w:right="-518" w:firstLine="567"/>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 xml:space="preserve">La personalidad de las partes, quedó acreditada en términos del artículo </w:t>
      </w:r>
      <w:r w:rsidR="003E1040">
        <w:rPr>
          <w:rFonts w:ascii="Arial" w:hAnsi="Arial" w:cs="Arial"/>
          <w:sz w:val="24"/>
          <w:szCs w:val="24"/>
        </w:rPr>
        <w:t>148</w:t>
      </w:r>
      <w:r w:rsidR="003E1040" w:rsidRPr="000C0153">
        <w:rPr>
          <w:rFonts w:ascii="Arial" w:hAnsi="Arial" w:cs="Arial"/>
          <w:sz w:val="24"/>
          <w:szCs w:val="24"/>
        </w:rPr>
        <w:t xml:space="preserve"> y 1</w:t>
      </w:r>
      <w:r w:rsidR="003E1040">
        <w:rPr>
          <w:rFonts w:ascii="Arial" w:hAnsi="Arial" w:cs="Arial"/>
          <w:sz w:val="24"/>
          <w:szCs w:val="24"/>
        </w:rPr>
        <w:t>51</w:t>
      </w:r>
      <w:r w:rsidR="003E1040" w:rsidRPr="000C0153">
        <w:rPr>
          <w:rFonts w:ascii="Arial" w:hAnsi="Arial" w:cs="Arial"/>
          <w:sz w:val="24"/>
          <w:szCs w:val="24"/>
        </w:rPr>
        <w:t xml:space="preserve"> </w:t>
      </w:r>
      <w:r w:rsidR="00C108C5" w:rsidRPr="000C0153">
        <w:rPr>
          <w:rFonts w:ascii="Arial" w:hAnsi="Arial" w:cs="Arial"/>
          <w:sz w:val="24"/>
          <w:szCs w:val="24"/>
        </w:rPr>
        <w:t xml:space="preserve"> de la Ley de</w:t>
      </w:r>
      <w:r w:rsidR="003E1040">
        <w:rPr>
          <w:rFonts w:ascii="Arial" w:hAnsi="Arial" w:cs="Arial"/>
          <w:sz w:val="24"/>
          <w:szCs w:val="24"/>
        </w:rPr>
        <w:t xml:space="preserve"> Procedimiento y</w:t>
      </w:r>
      <w:r w:rsidR="00C108C5" w:rsidRPr="000C0153">
        <w:rPr>
          <w:rFonts w:ascii="Arial" w:hAnsi="Arial" w:cs="Arial"/>
          <w:sz w:val="24"/>
          <w:szCs w:val="24"/>
        </w:rPr>
        <w:t xml:space="preserve"> Justicia Administrativa para el Estado, </w:t>
      </w:r>
      <w:r w:rsidR="00C108C5" w:rsidRPr="000C0153">
        <w:rPr>
          <w:rFonts w:ascii="Arial" w:hAnsi="Arial" w:cs="Arial"/>
          <w:bCs/>
          <w:color w:val="000000"/>
          <w:sz w:val="24"/>
          <w:szCs w:val="24"/>
        </w:rPr>
        <w:t xml:space="preserve">ya que </w:t>
      </w:r>
      <w:r w:rsidR="00E72679">
        <w:rPr>
          <w:rFonts w:ascii="Arial" w:hAnsi="Arial" w:cs="Arial"/>
          <w:bCs/>
          <w:color w:val="000000"/>
          <w:sz w:val="24"/>
          <w:szCs w:val="24"/>
        </w:rPr>
        <w:t>e</w:t>
      </w:r>
      <w:r w:rsidR="00C108C5" w:rsidRPr="000C0153">
        <w:rPr>
          <w:rFonts w:ascii="Arial" w:hAnsi="Arial" w:cs="Arial"/>
          <w:bCs/>
          <w:color w:val="000000"/>
          <w:sz w:val="24"/>
          <w:szCs w:val="24"/>
        </w:rPr>
        <w:t>l actor</w:t>
      </w:r>
      <w:r w:rsidR="00E72679">
        <w:rPr>
          <w:rFonts w:ascii="Arial" w:hAnsi="Arial" w:cs="Arial"/>
          <w:bCs/>
          <w:color w:val="000000"/>
          <w:sz w:val="24"/>
          <w:szCs w:val="24"/>
        </w:rPr>
        <w:t xml:space="preserve"> </w:t>
      </w:r>
      <w:r w:rsidR="007F7673">
        <w:rPr>
          <w:rFonts w:ascii="Arial" w:hAnsi="Arial" w:cs="Arial"/>
          <w:sz w:val="24"/>
          <w:szCs w:val="24"/>
        </w:rPr>
        <w:t>********** ********** **********</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w:t>
      </w:r>
      <w:r w:rsidR="003E1040">
        <w:rPr>
          <w:rFonts w:ascii="Arial" w:hAnsi="Arial" w:cs="Arial"/>
          <w:sz w:val="24"/>
          <w:szCs w:val="24"/>
        </w:rPr>
        <w:t xml:space="preserve"> lo dispuesto por el artículo 20</w:t>
      </w:r>
      <w:r w:rsidR="00C108C5" w:rsidRPr="000C0153">
        <w:rPr>
          <w:rFonts w:ascii="Arial" w:hAnsi="Arial" w:cs="Arial"/>
          <w:sz w:val="24"/>
          <w:szCs w:val="24"/>
        </w:rPr>
        <w:t>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p>
    <w:p w:rsidR="00136097" w:rsidRDefault="00136097" w:rsidP="002B7F87">
      <w:pPr>
        <w:spacing w:line="360" w:lineRule="auto"/>
        <w:ind w:right="-518" w:firstLine="567"/>
        <w:jc w:val="both"/>
        <w:rPr>
          <w:rFonts w:ascii="Arial" w:hAnsi="Arial" w:cs="Arial"/>
          <w:sz w:val="24"/>
          <w:szCs w:val="24"/>
        </w:rPr>
      </w:pPr>
    </w:p>
    <w:p w:rsidR="00D7799B"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716B4A">
        <w:rPr>
          <w:rFonts w:cs="Arial"/>
          <w:b w:val="0"/>
          <w:i/>
          <w:sz w:val="22"/>
          <w:szCs w:val="22"/>
        </w:rPr>
        <w:t>**********</w:t>
      </w:r>
      <w:r w:rsidR="007F7673">
        <w:rPr>
          <w:rFonts w:cs="Arial"/>
          <w:b w:val="0"/>
          <w:i/>
          <w:sz w:val="22"/>
          <w:szCs w:val="22"/>
        </w:rPr>
        <w:t xml:space="preserve"> </w:t>
      </w:r>
      <w:r w:rsidR="007F7673">
        <w:rPr>
          <w:rFonts w:cs="Arial"/>
          <w:sz w:val="24"/>
          <w:szCs w:val="24"/>
        </w:rPr>
        <w:t>********** **********</w:t>
      </w:r>
      <w:r w:rsidR="00F66C0C" w:rsidRPr="00D7799B">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7F7673">
        <w:rPr>
          <w:rFonts w:cs="Arial"/>
          <w:sz w:val="24"/>
          <w:szCs w:val="24"/>
        </w:rPr>
        <w:t>**********</w:t>
      </w:r>
      <w:r w:rsidR="00F66C0C" w:rsidRPr="00D7799B">
        <w:rPr>
          <w:rFonts w:cs="Arial"/>
          <w:b w:val="0"/>
          <w:sz w:val="24"/>
          <w:szCs w:val="24"/>
        </w:rPr>
        <w:t xml:space="preserve"> de 8 ocho de agosto de 2017 dos mil diecisiete, emitido por la Directora de Ingresos y Recaudación de la Secretaría de Finanzas del Poder Ejecutivo del Estado de Oaxaca, al considerar que </w:t>
      </w:r>
      <w:r w:rsidR="00160A37" w:rsidRPr="00D7799B">
        <w:rPr>
          <w:rFonts w:cs="Arial"/>
          <w:b w:val="0"/>
          <w:sz w:val="24"/>
          <w:szCs w:val="24"/>
        </w:rPr>
        <w:t xml:space="preserve">la resolución impugnada, </w:t>
      </w:r>
      <w:r w:rsidR="00841415">
        <w:rPr>
          <w:rFonts w:cs="Arial"/>
          <w:b w:val="0"/>
          <w:sz w:val="24"/>
          <w:szCs w:val="24"/>
        </w:rPr>
        <w:t>no reúne los requisitos de fundamentación y motivación, en cuanto las circunstancias de tiempo y lugar, así como de la mención de la oficina en donde se encuentre y pueda ser consultado el expediente respect</w:t>
      </w:r>
      <w:r w:rsidR="0057002A">
        <w:rPr>
          <w:rFonts w:cs="Arial"/>
          <w:b w:val="0"/>
          <w:sz w:val="24"/>
          <w:szCs w:val="24"/>
        </w:rPr>
        <w:t>ivo. Así también, que la autoridad demandada no señaló los suficientes preceptos y ordenamientos para otorgarle validez, y que se dejaron de observar características específicas que la Ley de Justicia administrativa para el Estado de Oaxaca.</w:t>
      </w:r>
    </w:p>
    <w:p w:rsidR="00D7799B" w:rsidRDefault="00D7799B" w:rsidP="00D7799B">
      <w:pPr>
        <w:pStyle w:val="corte3centro"/>
        <w:ind w:right="-518" w:firstLine="567"/>
        <w:jc w:val="both"/>
        <w:rPr>
          <w:rFonts w:cs="Arial"/>
          <w:b w:val="0"/>
          <w:sz w:val="24"/>
          <w:szCs w:val="24"/>
        </w:rPr>
      </w:pPr>
    </w:p>
    <w:p w:rsidR="00F66C0C" w:rsidRPr="00D7799B" w:rsidRDefault="0027363E" w:rsidP="00D7799B">
      <w:pPr>
        <w:pStyle w:val="corte3centro"/>
        <w:ind w:right="-518" w:firstLine="567"/>
        <w:jc w:val="both"/>
        <w:rPr>
          <w:rFonts w:cs="Arial"/>
          <w:b w:val="0"/>
          <w:bCs/>
          <w:sz w:val="24"/>
          <w:szCs w:val="24"/>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en su contestación de demanda, manifestó que s</w:t>
      </w:r>
      <w:r w:rsidR="007C30DC">
        <w:rPr>
          <w:rFonts w:cs="Arial"/>
          <w:b w:val="0"/>
          <w:bCs/>
          <w:sz w:val="24"/>
          <w:szCs w:val="24"/>
          <w:lang w:val="es-ES"/>
        </w:rPr>
        <w:t>í</w:t>
      </w:r>
      <w:r w:rsidR="00D7799B">
        <w:rPr>
          <w:rFonts w:cs="Arial"/>
          <w:b w:val="0"/>
          <w:bCs/>
          <w:sz w:val="24"/>
          <w:szCs w:val="24"/>
          <w:lang w:val="es-ES"/>
        </w:rPr>
        <w:t xml:space="preserve"> motivó la imposición de la </w:t>
      </w:r>
      <w:r w:rsidR="00237F27">
        <w:rPr>
          <w:rFonts w:cs="Arial"/>
          <w:b w:val="0"/>
          <w:bCs/>
          <w:sz w:val="24"/>
          <w:szCs w:val="24"/>
          <w:lang w:val="es-ES"/>
        </w:rPr>
        <w:t>m</w:t>
      </w:r>
      <w:r w:rsidR="00D7799B">
        <w:rPr>
          <w:rFonts w:cs="Arial"/>
          <w:b w:val="0"/>
          <w:bCs/>
          <w:sz w:val="24"/>
          <w:szCs w:val="24"/>
          <w:lang w:val="es-ES"/>
        </w:rPr>
        <w:t>ulta establecida en el Código Fiscal para el Estado de Oaxaca, a la par de que fundó su actuar, conforme al artículo 6</w:t>
      </w:r>
      <w:r w:rsidR="00D650C4">
        <w:rPr>
          <w:rFonts w:cs="Arial"/>
          <w:b w:val="0"/>
          <w:bCs/>
          <w:sz w:val="24"/>
          <w:szCs w:val="24"/>
          <w:lang w:val="es-ES"/>
        </w:rPr>
        <w:t>4</w:t>
      </w:r>
      <w:r w:rsidR="00D7799B">
        <w:rPr>
          <w:rFonts w:cs="Arial"/>
          <w:b w:val="0"/>
          <w:bCs/>
          <w:sz w:val="24"/>
          <w:szCs w:val="24"/>
          <w:lang w:val="es-ES"/>
        </w:rPr>
        <w:t xml:space="preserve"> del Código Fiscal </w:t>
      </w:r>
      <w:r w:rsidR="00D7799B">
        <w:rPr>
          <w:rFonts w:cs="Arial"/>
          <w:b w:val="0"/>
          <w:bCs/>
          <w:sz w:val="24"/>
          <w:szCs w:val="24"/>
          <w:lang w:val="es-ES"/>
        </w:rPr>
        <w:lastRenderedPageBreak/>
        <w:t>para el Estado de Oaxaca, relacionado con los artículos 59 y 60 del Reglamento del citado código, los cuales señalan que las personas físicas, morales y unidades económicas están obligadas a presentar su solicitud de inscripción al Registro Estatal de Contribuyentes, en un plazo de un mes al día en que se actualice el supuesto jur</w:t>
      </w:r>
      <w:r w:rsidR="00BA0970">
        <w:rPr>
          <w:rFonts w:cs="Arial"/>
          <w:b w:val="0"/>
          <w:bCs/>
          <w:sz w:val="24"/>
          <w:szCs w:val="24"/>
          <w:lang w:val="es-ES"/>
        </w:rPr>
        <w:t xml:space="preserve">ídico o el </w:t>
      </w:r>
      <w:r w:rsidR="00D7799B">
        <w:rPr>
          <w:rFonts w:cs="Arial"/>
          <w:b w:val="0"/>
          <w:bCs/>
          <w:sz w:val="24"/>
          <w:szCs w:val="24"/>
          <w:lang w:val="es-ES"/>
        </w:rPr>
        <w:t>h</w:t>
      </w:r>
      <w:r w:rsidR="00BA0970">
        <w:rPr>
          <w:rFonts w:cs="Arial"/>
          <w:b w:val="0"/>
          <w:bCs/>
          <w:sz w:val="24"/>
          <w:szCs w:val="24"/>
          <w:lang w:val="es-ES"/>
        </w:rPr>
        <w:t>e</w:t>
      </w:r>
      <w:r w:rsidR="00D7799B">
        <w:rPr>
          <w:rFonts w:cs="Arial"/>
          <w:b w:val="0"/>
          <w:bCs/>
          <w:sz w:val="24"/>
          <w:szCs w:val="24"/>
          <w:lang w:val="es-ES"/>
        </w:rPr>
        <w:t xml:space="preserve">cho jurídico que lo motive. </w:t>
      </w:r>
    </w:p>
    <w:p w:rsidR="00F66C0C" w:rsidRDefault="00F66C0C" w:rsidP="00F66C0C">
      <w:pPr>
        <w:pStyle w:val="corte3centro"/>
        <w:ind w:right="-1083" w:firstLine="567"/>
        <w:jc w:val="both"/>
        <w:rPr>
          <w:rFonts w:cs="Arial"/>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establecida en el Código Fiscal para el Estado de Oaxaca, con número de control </w:t>
      </w:r>
      <w:r w:rsidR="007F7673">
        <w:rPr>
          <w:rFonts w:cs="Arial"/>
          <w:sz w:val="24"/>
          <w:szCs w:val="24"/>
        </w:rPr>
        <w:t>**********</w:t>
      </w:r>
      <w:r w:rsidR="00BA0970">
        <w:rPr>
          <w:rFonts w:cs="Arial"/>
          <w:b w:val="0"/>
          <w:sz w:val="24"/>
          <w:szCs w:val="24"/>
        </w:rPr>
        <w:t xml:space="preserve"> de 8 ocho de agosto de 2017 dos mil diecisiete </w:t>
      </w:r>
      <w:r w:rsidR="00F66C0C">
        <w:rPr>
          <w:rFonts w:cs="Arial"/>
          <w:b w:val="0"/>
          <w:sz w:val="24"/>
          <w:szCs w:val="24"/>
        </w:rPr>
        <w:t>(</w:t>
      </w:r>
      <w:r w:rsidR="00BA0970">
        <w:rPr>
          <w:rFonts w:cs="Arial"/>
          <w:b w:val="0"/>
          <w:sz w:val="24"/>
          <w:szCs w:val="24"/>
        </w:rPr>
        <w:t xml:space="preserve">foja </w:t>
      </w:r>
      <w:r w:rsidR="00125A51">
        <w:rPr>
          <w:rFonts w:cs="Arial"/>
          <w:b w:val="0"/>
          <w:sz w:val="24"/>
          <w:szCs w:val="24"/>
        </w:rPr>
        <w:t>7</w:t>
      </w:r>
      <w:r w:rsidR="00F66C0C" w:rsidRPr="009C66B4">
        <w:rPr>
          <w:rFonts w:cs="Arial"/>
          <w:b w:val="0"/>
          <w:sz w:val="24"/>
          <w:szCs w:val="24"/>
        </w:rPr>
        <w:t xml:space="preserve">), </w:t>
      </w:r>
      <w:r w:rsidR="00F66C0C">
        <w:rPr>
          <w:rFonts w:cs="Arial"/>
          <w:b w:val="0"/>
          <w:sz w:val="24"/>
          <w:szCs w:val="24"/>
        </w:rPr>
        <w:t>documental, a la que se le confiere pleno valor probatorio, en términos de la fra</w:t>
      </w:r>
      <w:r w:rsidR="003E1040">
        <w:rPr>
          <w:rFonts w:cs="Arial"/>
          <w:b w:val="0"/>
          <w:sz w:val="24"/>
          <w:szCs w:val="24"/>
        </w:rPr>
        <w:t>cción I del artículo 20</w:t>
      </w:r>
      <w:r w:rsidR="00F66C0C">
        <w:rPr>
          <w:rFonts w:cs="Arial"/>
          <w:b w:val="0"/>
          <w:sz w:val="24"/>
          <w:szCs w:val="24"/>
        </w:rPr>
        <w:t xml:space="preserve">3 de la Ley de la Materia,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125A51"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125A51">
        <w:rPr>
          <w:rFonts w:cs="Arial"/>
          <w:b w:val="0"/>
          <w:i/>
          <w:sz w:val="24"/>
          <w:szCs w:val="24"/>
        </w:rPr>
        <w:t xml:space="preserve">Esta autoridad fiscal identificó que es sujeto obligado a inscribirse en el </w:t>
      </w:r>
      <w:r w:rsidR="00E51F5A">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-941705</wp:posOffset>
                </wp:positionH>
                <wp:positionV relativeFrom="paragraph">
                  <wp:posOffset>3640455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E51F5A" w:rsidRDefault="00E51F5A" w:rsidP="00E51F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74.15pt;margin-top:286.6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">
                <v:textbox>
                  <w:txbxContent>
                    <w:p w:rsidR="00E51F5A" w:rsidRDefault="00E51F5A" w:rsidP="00E51F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125A51">
        <w:rPr>
          <w:rFonts w:cs="Arial"/>
          <w:b w:val="0"/>
          <w:i/>
          <w:sz w:val="24"/>
          <w:szCs w:val="24"/>
        </w:rPr>
        <w:t>Registro Estatal de Contribuyentes del estado de Oaxaca, por realizar actividades vinculadas al Impuesto Sobre Erogaciones por Remuneraciones al Trabajo Personal, lo anterior como resultado del intercambio de información que realiza la Dirección de ingresos y Recaudación, con Dependencia y Organismos Públicos en el ámbito Estatal y Federal, con fundamento en los artículos 96, 97 primer párrafo y 98 del Código Fiscal del Estado de Oaxaca.</w:t>
      </w:r>
    </w:p>
    <w:p w:rsidR="00125A51" w:rsidRDefault="00125A51" w:rsidP="004233F5">
      <w:pPr>
        <w:pStyle w:val="corte3centro"/>
        <w:spacing w:line="276" w:lineRule="auto"/>
        <w:ind w:left="567" w:right="-518"/>
        <w:jc w:val="both"/>
        <w:rPr>
          <w:rFonts w:cs="Arial"/>
          <w:b w:val="0"/>
          <w:i/>
          <w:sz w:val="24"/>
          <w:szCs w:val="24"/>
        </w:rPr>
      </w:pPr>
    </w:p>
    <w:p w:rsidR="00F66C0C" w:rsidRDefault="00F15407" w:rsidP="004233F5">
      <w:pPr>
        <w:pStyle w:val="corte3centro"/>
        <w:spacing w:line="276" w:lineRule="auto"/>
        <w:ind w:left="567" w:right="-518"/>
        <w:jc w:val="both"/>
        <w:rPr>
          <w:rFonts w:cs="Arial"/>
          <w:b w:val="0"/>
          <w:i/>
          <w:sz w:val="24"/>
          <w:szCs w:val="24"/>
        </w:rPr>
      </w:pPr>
      <w:r w:rsidRPr="005B118C">
        <w:rPr>
          <w:rFonts w:cs="Arial"/>
          <w:b w:val="0"/>
          <w:i/>
          <w:sz w:val="24"/>
          <w:szCs w:val="24"/>
        </w:rPr>
        <w:t xml:space="preserve">Considerando que la Dirección de Ingresos y Recaudación de la Secretaría de Finanzas </w:t>
      </w:r>
      <w:r w:rsidRPr="00562A61">
        <w:rPr>
          <w:rFonts w:cs="Arial"/>
          <w:b w:val="0"/>
          <w:i/>
          <w:sz w:val="24"/>
          <w:szCs w:val="24"/>
          <w:u w:val="single"/>
        </w:rPr>
        <w:t>lo ha identificado como sujeto obligado al pago del Impuesto sobre Erogaciones por Remuneraciones al Trabajo Personal</w:t>
      </w:r>
      <w:r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0E52B9" w:rsidRPr="005B118C" w:rsidRDefault="000E52B9" w:rsidP="004233F5">
      <w:pPr>
        <w:pStyle w:val="corte3centro"/>
        <w:spacing w:line="276" w:lineRule="auto"/>
        <w:ind w:left="567" w:right="-518"/>
        <w:jc w:val="both"/>
        <w:rPr>
          <w:rFonts w:cs="Arial"/>
          <w:b w:val="0"/>
          <w:i/>
          <w:sz w:val="24"/>
          <w:szCs w:val="24"/>
        </w:rPr>
      </w:pP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b w:val="0"/>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lastRenderedPageBreak/>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Default="00915547" w:rsidP="00F15407">
      <w:pPr>
        <w:pStyle w:val="corte3centro"/>
        <w:ind w:right="-518" w:firstLine="567"/>
        <w:jc w:val="both"/>
        <w:rPr>
          <w:rFonts w:cs="Arial"/>
          <w:b w:val="0"/>
          <w:sz w:val="24"/>
          <w:szCs w:val="24"/>
        </w:rPr>
      </w:pPr>
    </w:p>
    <w:p w:rsidR="00F84D9E" w:rsidRDefault="00AE076A" w:rsidP="00F84D9E">
      <w:pPr>
        <w:pStyle w:val="corte3centro"/>
        <w:ind w:right="-518" w:firstLine="567"/>
        <w:jc w:val="both"/>
        <w:rPr>
          <w:rFonts w:cs="Arial"/>
          <w:b w:val="0"/>
          <w:sz w:val="24"/>
          <w:szCs w:val="24"/>
        </w:rPr>
      </w:pPr>
      <w:r>
        <w:rPr>
          <w:rFonts w:cs="Arial"/>
          <w:b w:val="0"/>
          <w:sz w:val="24"/>
          <w:szCs w:val="24"/>
        </w:rPr>
        <w:t>De lo anterior se advierte, en primer lugar que l</w:t>
      </w:r>
      <w:r w:rsidR="00237F27">
        <w:rPr>
          <w:rFonts w:cs="Arial"/>
          <w:b w:val="0"/>
          <w:sz w:val="24"/>
          <w:szCs w:val="24"/>
        </w:rPr>
        <w:t>a autoridad demandada al emitir</w:t>
      </w:r>
      <w:r>
        <w:rPr>
          <w:rFonts w:cs="Arial"/>
          <w:b w:val="0"/>
          <w:sz w:val="24"/>
          <w:szCs w:val="24"/>
        </w:rPr>
        <w:t xml:space="preserve"> </w:t>
      </w:r>
      <w:r w:rsidR="00237F27">
        <w:rPr>
          <w:rFonts w:cs="Arial"/>
          <w:b w:val="0"/>
          <w:sz w:val="24"/>
          <w:szCs w:val="24"/>
        </w:rPr>
        <w:t>la multa por infracción establecida en el Código Fiscal para el Estado de Oaxaca, con número de control</w:t>
      </w:r>
      <w:r w:rsidR="00237F27" w:rsidRPr="00716B4A">
        <w:rPr>
          <w:rFonts w:cs="Arial"/>
          <w:b w:val="0"/>
          <w:color w:val="FF0000"/>
          <w:sz w:val="24"/>
          <w:szCs w:val="24"/>
        </w:rPr>
        <w:t xml:space="preserve"> </w:t>
      </w:r>
      <w:r w:rsidR="007F7673">
        <w:rPr>
          <w:rFonts w:cs="Arial"/>
          <w:sz w:val="24"/>
          <w:szCs w:val="24"/>
        </w:rPr>
        <w:t>**********</w:t>
      </w:r>
      <w:r w:rsidR="00237F27" w:rsidRPr="00716B4A">
        <w:rPr>
          <w:rFonts w:cs="Arial"/>
          <w:b w:val="0"/>
          <w:color w:val="FF0000"/>
          <w:sz w:val="24"/>
          <w:szCs w:val="24"/>
        </w:rPr>
        <w:t xml:space="preserve"> </w:t>
      </w:r>
      <w:r w:rsidR="00237F27">
        <w:rPr>
          <w:rFonts w:cs="Arial"/>
          <w:b w:val="0"/>
          <w:sz w:val="24"/>
          <w:szCs w:val="24"/>
        </w:rPr>
        <w:t xml:space="preserve">de 8 ocho de agosto de 2017 dos mil diecisiete, </w:t>
      </w:r>
      <w:r>
        <w:rPr>
          <w:rFonts w:cs="Arial"/>
          <w:b w:val="0"/>
          <w:sz w:val="24"/>
          <w:szCs w:val="24"/>
        </w:rPr>
        <w:t xml:space="preserve">no señala en qué consiste el impuesto sobre Erogaciones por Remuneración al Trabajo Personal. Tampoco señala </w:t>
      </w:r>
      <w:r w:rsidR="00017A04">
        <w:rPr>
          <w:rFonts w:cs="Arial"/>
          <w:b w:val="0"/>
          <w:sz w:val="24"/>
          <w:szCs w:val="24"/>
        </w:rPr>
        <w:t xml:space="preserve">de qué </w:t>
      </w:r>
      <w:r w:rsidR="007C30DC">
        <w:rPr>
          <w:rFonts w:cs="Arial"/>
          <w:b w:val="0"/>
          <w:sz w:val="24"/>
          <w:szCs w:val="24"/>
        </w:rPr>
        <w:t xml:space="preserve">información </w:t>
      </w:r>
      <w:r w:rsidR="00017A04">
        <w:rPr>
          <w:rFonts w:cs="Arial"/>
          <w:b w:val="0"/>
          <w:sz w:val="24"/>
          <w:szCs w:val="24"/>
        </w:rPr>
        <w:t>se basó</w:t>
      </w:r>
      <w:r w:rsidR="007C30DC">
        <w:rPr>
          <w:rFonts w:cs="Arial"/>
          <w:b w:val="0"/>
          <w:sz w:val="24"/>
          <w:szCs w:val="24"/>
        </w:rPr>
        <w:t>, para identificar</w:t>
      </w:r>
      <w:r>
        <w:rPr>
          <w:rFonts w:cs="Arial"/>
          <w:b w:val="0"/>
          <w:sz w:val="24"/>
          <w:szCs w:val="24"/>
        </w:rPr>
        <w:t xml:space="preserve"> a la actora, como sujeto obligado al pago de dicho impuesto y a darse de alta. </w:t>
      </w:r>
      <w:r w:rsidR="00E1058C">
        <w:rPr>
          <w:rFonts w:cs="Arial"/>
          <w:b w:val="0"/>
          <w:sz w:val="24"/>
          <w:szCs w:val="24"/>
        </w:rPr>
        <w:t>Lo anterior</w:t>
      </w:r>
      <w:r>
        <w:rPr>
          <w:rFonts w:cs="Arial"/>
          <w:b w:val="0"/>
          <w:sz w:val="24"/>
          <w:szCs w:val="24"/>
        </w:rPr>
        <w:t>,</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w:t>
      </w:r>
      <w:r w:rsidR="00F84D9E">
        <w:rPr>
          <w:rFonts w:cs="Arial"/>
          <w:b w:val="0"/>
          <w:sz w:val="24"/>
          <w:szCs w:val="24"/>
        </w:rPr>
        <w:t>l</w:t>
      </w:r>
      <w:r>
        <w:rPr>
          <w:rFonts w:cs="Arial"/>
          <w:b w:val="0"/>
          <w:sz w:val="24"/>
          <w:szCs w:val="24"/>
        </w:rPr>
        <w:t xml:space="preserve"> emitir </w:t>
      </w:r>
      <w:r w:rsidR="00F84D9E">
        <w:rPr>
          <w:rFonts w:cs="Arial"/>
          <w:b w:val="0"/>
          <w:sz w:val="24"/>
          <w:szCs w:val="24"/>
        </w:rPr>
        <w:t>todo acto administrativo</w:t>
      </w:r>
      <w:r w:rsidRPr="00676CA6">
        <w:rPr>
          <w:rFonts w:cs="Arial"/>
          <w:b w:val="0"/>
          <w:sz w:val="24"/>
          <w:szCs w:val="24"/>
        </w:rPr>
        <w:t xml:space="preserve">, </w:t>
      </w:r>
      <w:r>
        <w:rPr>
          <w:rFonts w:cs="Arial"/>
          <w:b w:val="0"/>
          <w:sz w:val="24"/>
          <w:szCs w:val="24"/>
        </w:rPr>
        <w:t>ya que con la sola manifestación de que l</w:t>
      </w:r>
      <w:r w:rsidR="003058E2">
        <w:rPr>
          <w:rFonts w:cs="Arial"/>
          <w:b w:val="0"/>
          <w:sz w:val="24"/>
          <w:szCs w:val="24"/>
        </w:rPr>
        <w:t>a</w:t>
      </w:r>
      <w:r>
        <w:rPr>
          <w:rFonts w:cs="Arial"/>
          <w:b w:val="0"/>
          <w:sz w:val="24"/>
          <w:szCs w:val="24"/>
        </w:rPr>
        <w:t xml:space="preserve"> actor</w:t>
      </w:r>
      <w:r w:rsidR="003058E2">
        <w:rPr>
          <w:rFonts w:cs="Arial"/>
          <w:b w:val="0"/>
          <w:sz w:val="24"/>
          <w:szCs w:val="24"/>
        </w:rPr>
        <w:t>a</w:t>
      </w:r>
      <w:r>
        <w:rPr>
          <w:rFonts w:cs="Arial"/>
          <w:b w:val="0"/>
          <w:sz w:val="24"/>
          <w:szCs w:val="24"/>
        </w:rPr>
        <w:t xml:space="preserve"> fue identificado como sujeto obligado al pago del citado impuesto, no hay argumento lógico-jurídico </w:t>
      </w:r>
      <w:r w:rsidR="00017A04">
        <w:rPr>
          <w:rFonts w:cs="Arial"/>
          <w:b w:val="0"/>
          <w:sz w:val="24"/>
          <w:szCs w:val="24"/>
        </w:rPr>
        <w:t>para señalar que la actora realiza</w:t>
      </w:r>
      <w:r>
        <w:rPr>
          <w:rFonts w:cs="Arial"/>
          <w:b w:val="0"/>
          <w:sz w:val="24"/>
          <w:szCs w:val="24"/>
        </w:rPr>
        <w:t xml:space="preserve"> actividades que la obliguen a pagar el impuesto, por lo que la deja en estado de indefensión</w:t>
      </w:r>
      <w:r w:rsidR="00F84D9E">
        <w:rPr>
          <w:rFonts w:cs="Arial"/>
          <w:b w:val="0"/>
          <w:sz w:val="24"/>
          <w:szCs w:val="24"/>
        </w:rPr>
        <w:t>. Es decir, que la autoridad demandada, tiene la carga de la prueba para demostrar</w:t>
      </w:r>
      <w:r w:rsidR="00017A04">
        <w:rPr>
          <w:rFonts w:cs="Arial"/>
          <w:b w:val="0"/>
          <w:sz w:val="24"/>
          <w:szCs w:val="24"/>
        </w:rPr>
        <w:t>,</w:t>
      </w:r>
      <w:r w:rsidR="00F84D9E">
        <w:rPr>
          <w:rFonts w:cs="Arial"/>
          <w:b w:val="0"/>
          <w:sz w:val="24"/>
          <w:szCs w:val="24"/>
        </w:rPr>
        <w:t xml:space="preserve"> que las actividades comerciales que realiza la actora</w:t>
      </w:r>
      <w:r w:rsidR="007815EA">
        <w:rPr>
          <w:rFonts w:cs="Arial"/>
          <w:b w:val="0"/>
          <w:sz w:val="24"/>
          <w:szCs w:val="24"/>
        </w:rPr>
        <w:t xml:space="preserve"> están sujetas al pago del impuesto sobre Erogaciones por Remuneración al Trabajo Personal</w:t>
      </w:r>
      <w:r w:rsidR="00F84D9E">
        <w:rPr>
          <w:rFonts w:cs="Arial"/>
          <w:b w:val="0"/>
          <w:sz w:val="24"/>
          <w:szCs w:val="24"/>
        </w:rPr>
        <w:t xml:space="preserve">. </w:t>
      </w:r>
    </w:p>
    <w:p w:rsidR="00F84D9E"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3E1040">
        <w:rPr>
          <w:rFonts w:cs="Arial"/>
          <w:b w:val="0"/>
          <w:sz w:val="24"/>
          <w:szCs w:val="24"/>
        </w:rPr>
        <w:t>1</w:t>
      </w:r>
      <w:r w:rsidR="00E1058C" w:rsidRPr="00E1058C">
        <w:rPr>
          <w:rFonts w:cs="Arial"/>
          <w:b w:val="0"/>
          <w:sz w:val="24"/>
          <w:szCs w:val="24"/>
        </w:rPr>
        <w:t xml:space="preserve">7 de la Ley </w:t>
      </w:r>
      <w:r w:rsidR="003E1040">
        <w:rPr>
          <w:rFonts w:cs="Arial"/>
          <w:b w:val="0"/>
          <w:sz w:val="24"/>
          <w:szCs w:val="24"/>
        </w:rPr>
        <w:t>de Procedimiento y</w:t>
      </w:r>
      <w:r w:rsidR="00E1058C" w:rsidRPr="00E1058C">
        <w:rPr>
          <w:rFonts w:cs="Arial"/>
          <w:b w:val="0"/>
          <w:sz w:val="24"/>
          <w:szCs w:val="24"/>
        </w:rPr>
        <w:t xml:space="preserve"> Justicia Administrativa</w:t>
      </w:r>
      <w:r w:rsidR="003E1040">
        <w:rPr>
          <w:rFonts w:cs="Arial"/>
          <w:b w:val="0"/>
          <w:sz w:val="24"/>
          <w:szCs w:val="24"/>
        </w:rPr>
        <w:t xml:space="preserve"> para el Estado de Oaxaca</w:t>
      </w:r>
      <w:r w:rsidR="00E1058C" w:rsidRPr="00E1058C">
        <w:rPr>
          <w:rFonts w:cs="Arial"/>
          <w:b w:val="0"/>
          <w:sz w:val="24"/>
          <w:szCs w:val="24"/>
        </w:rPr>
        <w:t xml:space="preserve">; en consecuencia, con fundamento en el artículo </w:t>
      </w:r>
      <w:r w:rsidR="003E1040">
        <w:rPr>
          <w:rFonts w:cs="Arial"/>
          <w:b w:val="0"/>
          <w:sz w:val="24"/>
          <w:szCs w:val="24"/>
        </w:rPr>
        <w:t>207 y 208</w:t>
      </w:r>
      <w:r w:rsidR="00E1058C" w:rsidRPr="00E1058C">
        <w:rPr>
          <w:rFonts w:cs="Arial"/>
          <w:b w:val="0"/>
          <w:sz w:val="24"/>
          <w:szCs w:val="24"/>
        </w:rPr>
        <w:t xml:space="preserve">, fracción VI, de la </w:t>
      </w:r>
      <w:r w:rsidR="003E1040">
        <w:rPr>
          <w:rFonts w:cs="Arial"/>
          <w:b w:val="0"/>
          <w:sz w:val="24"/>
          <w:szCs w:val="24"/>
        </w:rPr>
        <w:t>citada ley</w:t>
      </w:r>
      <w:r w:rsidR="00E1058C" w:rsidRPr="00E1058C">
        <w:rPr>
          <w:rFonts w:cs="Arial"/>
          <w:b w:val="0"/>
          <w:sz w:val="24"/>
          <w:szCs w:val="24"/>
        </w:rPr>
        <w:t xml:space="preserve">, procede declarar LA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7F7673">
        <w:rPr>
          <w:rFonts w:cs="Arial"/>
          <w:sz w:val="24"/>
          <w:szCs w:val="24"/>
        </w:rPr>
        <w:t>**********</w:t>
      </w:r>
      <w:r w:rsidR="00562A61" w:rsidRPr="00237F27">
        <w:rPr>
          <w:sz w:val="24"/>
          <w:szCs w:val="24"/>
        </w:rPr>
        <w:t xml:space="preserve"> 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r w:rsidR="003E1040">
        <w:rPr>
          <w:sz w:val="24"/>
          <w:szCs w:val="24"/>
        </w:rPr>
        <w:t xml:space="preserve"> - - - - - - - - - - - - - - - - - - - - - - - - - - - - - - -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Pr="00F5368D">
        <w:rPr>
          <w:rFonts w:cs="Arial"/>
          <w:b w:val="0"/>
          <w:sz w:val="24"/>
          <w:szCs w:val="24"/>
        </w:rPr>
        <w:t xml:space="preserve"> es preciso establecer que los Tribunales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w:t>
      </w:r>
      <w:r w:rsidRPr="00F5368D">
        <w:rPr>
          <w:rFonts w:cs="Arial"/>
          <w:b w:val="0"/>
          <w:sz w:val="24"/>
          <w:szCs w:val="24"/>
        </w:rPr>
        <w:lastRenderedPageBreak/>
        <w:t>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4233F5">
      <w:pPr>
        <w:pStyle w:val="corte3centro"/>
        <w:spacing w:line="276" w:lineRule="auto"/>
        <w:ind w:left="567" w:right="-518"/>
        <w:jc w:val="both"/>
        <w:rPr>
          <w:rFonts w:cs="Arial"/>
          <w:b w:val="0"/>
          <w:i/>
          <w:sz w:val="24"/>
          <w:szCs w:val="24"/>
        </w:rPr>
      </w:pPr>
    </w:p>
    <w:p w:rsidR="00F66C0C" w:rsidRPr="004233F5" w:rsidRDefault="00F66C0C" w:rsidP="004233F5">
      <w:pPr>
        <w:pStyle w:val="corte3centro"/>
        <w:spacing w:line="276" w:lineRule="auto"/>
        <w:ind w:left="567" w:right="-518"/>
        <w:jc w:val="both"/>
        <w:rPr>
          <w:rFonts w:cs="Arial"/>
          <w:b w:val="0"/>
          <w:i/>
          <w:sz w:val="24"/>
          <w:szCs w:val="24"/>
        </w:rPr>
      </w:pPr>
      <w:r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3E1040" w:rsidP="00004C8F">
      <w:pPr>
        <w:spacing w:line="360" w:lineRule="auto"/>
        <w:ind w:right="-518" w:firstLine="567"/>
        <w:jc w:val="both"/>
        <w:rPr>
          <w:rFonts w:ascii="Arial" w:hAnsi="Arial" w:cs="Arial"/>
          <w:bCs/>
          <w:color w:val="000000"/>
          <w:sz w:val="24"/>
          <w:szCs w:val="24"/>
        </w:rPr>
      </w:pPr>
      <w:r w:rsidRPr="00D46E57">
        <w:rPr>
          <w:rFonts w:ascii="Arial" w:hAnsi="Arial" w:cs="Arial"/>
          <w:bCs/>
          <w:sz w:val="24"/>
          <w:szCs w:val="24"/>
        </w:rPr>
        <w:t xml:space="preserve">Por lo anteriormente expuesto, y con fundamento en los artículos </w:t>
      </w:r>
      <w:r w:rsidRPr="00D46E57">
        <w:rPr>
          <w:rFonts w:ascii="Arial" w:hAnsi="Arial" w:cs="Arial"/>
          <w:sz w:val="24"/>
          <w:szCs w:val="24"/>
        </w:rPr>
        <w:t>207, 208, fracción VI y 209</w:t>
      </w:r>
      <w:r w:rsidRPr="00D46E57">
        <w:rPr>
          <w:rFonts w:ascii="Arial" w:hAnsi="Arial" w:cs="Arial"/>
          <w:bCs/>
          <w:sz w:val="24"/>
          <w:szCs w:val="24"/>
        </w:rPr>
        <w:t xml:space="preserve">, de la Ley de </w:t>
      </w:r>
      <w:r>
        <w:rPr>
          <w:rFonts w:ascii="Arial" w:hAnsi="Arial" w:cs="Arial"/>
          <w:bCs/>
          <w:sz w:val="24"/>
          <w:szCs w:val="24"/>
        </w:rPr>
        <w:t xml:space="preserve">Procedimiento y </w:t>
      </w:r>
      <w:r w:rsidRPr="00D46E57">
        <w:rPr>
          <w:rFonts w:ascii="Arial" w:hAnsi="Arial" w:cs="Arial"/>
          <w:bCs/>
          <w:sz w:val="24"/>
          <w:szCs w:val="24"/>
        </w:rPr>
        <w:t>Justicia Administrativa</w:t>
      </w:r>
      <w:r w:rsidRPr="00017A04">
        <w:rPr>
          <w:rFonts w:ascii="Arial" w:hAnsi="Arial" w:cs="Arial"/>
          <w:bCs/>
          <w:sz w:val="24"/>
          <w:szCs w:val="24"/>
        </w:rPr>
        <w:t xml:space="preserve"> para el Estado</w:t>
      </w:r>
      <w:r>
        <w:rPr>
          <w:rFonts w:ascii="Arial" w:hAnsi="Arial" w:cs="Arial"/>
          <w:bCs/>
          <w:sz w:val="24"/>
          <w:szCs w:val="24"/>
        </w:rPr>
        <w:t xml:space="preserve"> de Oaxaca</w:t>
      </w:r>
      <w:r w:rsidRPr="00017A04">
        <w:rPr>
          <w:rFonts w:ascii="Arial" w:hAnsi="Arial" w:cs="Arial"/>
          <w:bCs/>
          <w:sz w:val="24"/>
          <w:szCs w:val="24"/>
        </w:rPr>
        <w:t>,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E51F5A" w:rsidP="00147F00">
      <w:pPr>
        <w:spacing w:line="360" w:lineRule="auto"/>
        <w:ind w:right="-518" w:firstLine="708"/>
        <w:jc w:val="center"/>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43314296" wp14:editId="53D44D22">
                <wp:simplePos x="0" y="0"/>
                <wp:positionH relativeFrom="column">
                  <wp:posOffset>-1316355</wp:posOffset>
                </wp:positionH>
                <wp:positionV relativeFrom="paragraph">
                  <wp:posOffset>164465</wp:posOffset>
                </wp:positionV>
                <wp:extent cx="11144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66775"/>
                        </a:xfrm>
                        <a:prstGeom prst="rect">
                          <a:avLst/>
                        </a:prstGeom>
                        <a:solidFill>
                          <a:srgbClr val="FFFFFF"/>
                        </a:solidFill>
                        <a:ln w="9525">
                          <a:solidFill>
                            <a:srgbClr val="000000"/>
                          </a:solidFill>
                          <a:miter lim="800000"/>
                          <a:headEnd/>
                          <a:tailEnd/>
                        </a:ln>
                      </wps:spPr>
                      <wps:txbx>
                        <w:txbxContent>
                          <w:p w:rsidR="00E51F5A" w:rsidRDefault="00E51F5A" w:rsidP="00E51F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103.65pt;margin-top:12.95pt;width:87.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">
                <v:textbox>
                  <w:txbxContent>
                    <w:p w:rsidR="00E51F5A" w:rsidRDefault="00E51F5A" w:rsidP="00E51F5A">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w:t>
      </w:r>
      <w:bookmarkStart w:id="0" w:name="_GoBack"/>
      <w:bookmarkEnd w:id="0"/>
      <w:r>
        <w:rPr>
          <w:rFonts w:ascii="Arial" w:hAnsi="Arial" w:cs="Arial"/>
          <w:bCs/>
          <w:color w:val="000000"/>
          <w:sz w:val="24"/>
          <w:szCs w:val="24"/>
        </w:rPr>
        <w:t xml:space="preserve">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7F7673">
        <w:rPr>
          <w:rFonts w:cs="Arial"/>
          <w:sz w:val="24"/>
          <w:szCs w:val="24"/>
        </w:rPr>
        <w:t>**********</w:t>
      </w:r>
      <w:r w:rsidR="003C0E2A" w:rsidRPr="00237F27">
        <w:rPr>
          <w:sz w:val="24"/>
          <w:szCs w:val="24"/>
        </w:rPr>
        <w:t xml:space="preserve"> de 8 ocho de agosto de 2017 dos mil diecisiete</w:t>
      </w:r>
      <w:r w:rsidR="003C0E2A">
        <w:rPr>
          <w:sz w:val="24"/>
          <w:szCs w:val="24"/>
        </w:rPr>
        <w:t xml:space="preserve">, </w:t>
      </w:r>
      <w:r w:rsidR="003C0E2A">
        <w:rPr>
          <w:b w:val="0"/>
          <w:sz w:val="24"/>
          <w:szCs w:val="24"/>
        </w:rPr>
        <w:t>emitida por la Directora de Ingresos y Recaudación de la Secretaría de Finanzas del Poder Ejecutivo del Estado</w:t>
      </w:r>
      <w:r w:rsidR="00FF2453">
        <w:rPr>
          <w:b w:val="0"/>
          <w:sz w:val="24"/>
          <w:szCs w:val="24"/>
        </w:rPr>
        <w:t>.- - - - - - - - - - - - - - - - - - - - - - - - - - - - - - - - - - - - - - - - - - - - - - -</w:t>
      </w:r>
    </w:p>
    <w:p w:rsidR="00247FA7" w:rsidRDefault="00247FA7" w:rsidP="00B8086C">
      <w:pPr>
        <w:spacing w:line="360" w:lineRule="auto"/>
        <w:ind w:right="-518"/>
        <w:jc w:val="both"/>
        <w:rPr>
          <w:rFonts w:ascii="Arial" w:hAnsi="Arial" w:cs="Arial"/>
          <w:bCs/>
          <w:color w:val="000000"/>
          <w:sz w:val="24"/>
          <w:szCs w:val="24"/>
        </w:rPr>
      </w:pPr>
    </w:p>
    <w:p w:rsidR="003E1040" w:rsidRPr="00E515F7" w:rsidRDefault="00930A36" w:rsidP="003E1040">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3E1040" w:rsidRPr="00514151">
        <w:rPr>
          <w:rFonts w:ascii="Arial" w:hAnsi="Arial" w:cs="Arial"/>
          <w:bCs/>
          <w:color w:val="000000"/>
          <w:sz w:val="24"/>
          <w:szCs w:val="24"/>
        </w:rPr>
        <w:t xml:space="preserve">Conforme a lo dispuesto en </w:t>
      </w:r>
      <w:r w:rsidR="003E1040">
        <w:rPr>
          <w:rFonts w:ascii="Arial" w:hAnsi="Arial" w:cs="Arial"/>
          <w:bCs/>
          <w:color w:val="000000"/>
          <w:sz w:val="24"/>
          <w:szCs w:val="24"/>
        </w:rPr>
        <w:t>los</w:t>
      </w:r>
      <w:r w:rsidR="003E1040" w:rsidRPr="00514151">
        <w:rPr>
          <w:rFonts w:ascii="Arial" w:hAnsi="Arial" w:cs="Arial"/>
          <w:bCs/>
          <w:color w:val="000000"/>
          <w:sz w:val="24"/>
          <w:szCs w:val="24"/>
        </w:rPr>
        <w:t xml:space="preserve"> artículo</w:t>
      </w:r>
      <w:r w:rsidR="003E1040">
        <w:rPr>
          <w:rFonts w:ascii="Arial" w:hAnsi="Arial" w:cs="Arial"/>
          <w:bCs/>
          <w:color w:val="000000"/>
          <w:sz w:val="24"/>
          <w:szCs w:val="24"/>
        </w:rPr>
        <w:t>s</w:t>
      </w:r>
      <w:r w:rsidR="003E1040" w:rsidRPr="00514151">
        <w:rPr>
          <w:rFonts w:ascii="Arial" w:hAnsi="Arial" w:cs="Arial"/>
          <w:bCs/>
          <w:color w:val="000000"/>
          <w:sz w:val="24"/>
          <w:szCs w:val="24"/>
        </w:rPr>
        <w:t xml:space="preserve"> 1</w:t>
      </w:r>
      <w:r w:rsidR="003E1040">
        <w:rPr>
          <w:rFonts w:ascii="Arial" w:hAnsi="Arial" w:cs="Arial"/>
          <w:bCs/>
          <w:color w:val="000000"/>
          <w:sz w:val="24"/>
          <w:szCs w:val="24"/>
        </w:rPr>
        <w:t>7</w:t>
      </w:r>
      <w:r w:rsidR="003E1040" w:rsidRPr="00514151">
        <w:rPr>
          <w:rFonts w:ascii="Arial" w:hAnsi="Arial" w:cs="Arial"/>
          <w:bCs/>
          <w:color w:val="000000"/>
          <w:sz w:val="24"/>
          <w:szCs w:val="24"/>
        </w:rPr>
        <w:t>2</w:t>
      </w:r>
      <w:r w:rsidR="003E1040">
        <w:rPr>
          <w:rFonts w:ascii="Arial" w:hAnsi="Arial" w:cs="Arial"/>
          <w:bCs/>
          <w:color w:val="000000"/>
          <w:sz w:val="24"/>
          <w:szCs w:val="24"/>
        </w:rPr>
        <w:t>,</w:t>
      </w:r>
      <w:r w:rsidR="003E1040" w:rsidRPr="00514151">
        <w:rPr>
          <w:rFonts w:ascii="Arial" w:hAnsi="Arial" w:cs="Arial"/>
          <w:bCs/>
          <w:color w:val="000000"/>
          <w:sz w:val="24"/>
          <w:szCs w:val="24"/>
        </w:rPr>
        <w:t xml:space="preserve"> fracción I</w:t>
      </w:r>
      <w:r w:rsidR="003E1040">
        <w:rPr>
          <w:rFonts w:ascii="Arial" w:hAnsi="Arial" w:cs="Arial"/>
          <w:bCs/>
          <w:color w:val="000000"/>
          <w:sz w:val="24"/>
          <w:szCs w:val="24"/>
        </w:rPr>
        <w:t>,</w:t>
      </w:r>
      <w:r w:rsidR="003E1040" w:rsidRPr="00514151">
        <w:rPr>
          <w:rFonts w:ascii="Arial" w:hAnsi="Arial" w:cs="Arial"/>
          <w:bCs/>
          <w:color w:val="000000"/>
          <w:sz w:val="24"/>
          <w:szCs w:val="24"/>
        </w:rPr>
        <w:t xml:space="preserve">  y 1</w:t>
      </w:r>
      <w:r w:rsidR="003E1040">
        <w:rPr>
          <w:rFonts w:ascii="Arial" w:hAnsi="Arial" w:cs="Arial"/>
          <w:bCs/>
          <w:color w:val="000000"/>
          <w:sz w:val="24"/>
          <w:szCs w:val="24"/>
        </w:rPr>
        <w:t>7</w:t>
      </w:r>
      <w:r w:rsidR="003E1040" w:rsidRPr="00514151">
        <w:rPr>
          <w:rFonts w:ascii="Arial" w:hAnsi="Arial" w:cs="Arial"/>
          <w:bCs/>
          <w:color w:val="000000"/>
          <w:sz w:val="24"/>
          <w:szCs w:val="24"/>
        </w:rPr>
        <w:t>3</w:t>
      </w:r>
      <w:r w:rsidR="003E1040">
        <w:rPr>
          <w:rFonts w:ascii="Arial" w:hAnsi="Arial" w:cs="Arial"/>
          <w:bCs/>
          <w:color w:val="000000"/>
          <w:sz w:val="24"/>
          <w:szCs w:val="24"/>
        </w:rPr>
        <w:t xml:space="preserve">, fracciones I y II, </w:t>
      </w:r>
      <w:r w:rsidR="003E1040" w:rsidRPr="00514151">
        <w:rPr>
          <w:rFonts w:ascii="Arial" w:hAnsi="Arial" w:cs="Arial"/>
          <w:bCs/>
          <w:color w:val="000000"/>
          <w:sz w:val="24"/>
          <w:szCs w:val="24"/>
        </w:rPr>
        <w:t xml:space="preserve">de la Ley de </w:t>
      </w:r>
      <w:r w:rsidR="003E1040">
        <w:rPr>
          <w:rFonts w:ascii="Arial" w:hAnsi="Arial" w:cs="Arial"/>
          <w:bCs/>
          <w:color w:val="000000"/>
          <w:sz w:val="24"/>
          <w:szCs w:val="24"/>
        </w:rPr>
        <w:t xml:space="preserve">Procedimiento y </w:t>
      </w:r>
      <w:r w:rsidR="003E1040" w:rsidRPr="00514151">
        <w:rPr>
          <w:rFonts w:ascii="Arial" w:hAnsi="Arial" w:cs="Arial"/>
          <w:bCs/>
          <w:color w:val="000000"/>
          <w:sz w:val="24"/>
          <w:szCs w:val="24"/>
        </w:rPr>
        <w:t xml:space="preserve">Justicia Administrativa para el Estado, </w:t>
      </w:r>
      <w:r w:rsidR="003E1040">
        <w:rPr>
          <w:rFonts w:ascii="Arial" w:hAnsi="Arial" w:cs="Arial"/>
          <w:b/>
          <w:bCs/>
          <w:color w:val="000000"/>
          <w:sz w:val="24"/>
          <w:szCs w:val="24"/>
        </w:rPr>
        <w:lastRenderedPageBreak/>
        <w:t xml:space="preserve">NOTIFÍQUESE PERSONALMENTE </w:t>
      </w:r>
      <w:r w:rsidR="003E1040" w:rsidRPr="001A33B6">
        <w:rPr>
          <w:rFonts w:ascii="Arial" w:hAnsi="Arial" w:cs="Arial"/>
          <w:b/>
          <w:bCs/>
          <w:color w:val="000000"/>
          <w:sz w:val="24"/>
          <w:szCs w:val="24"/>
        </w:rPr>
        <w:t>A LA PARTE ACTORA, Y POR OFICIO A LA AUTORIDAD DEMANDADA.</w:t>
      </w:r>
      <w:r w:rsidR="003E1040">
        <w:rPr>
          <w:rFonts w:ascii="Arial" w:hAnsi="Arial" w:cs="Arial"/>
          <w:bCs/>
          <w:color w:val="000000"/>
          <w:sz w:val="24"/>
          <w:szCs w:val="24"/>
        </w:rPr>
        <w:t xml:space="preserve"> </w:t>
      </w:r>
      <w:r w:rsidR="003E1040">
        <w:rPr>
          <w:rFonts w:ascii="Arial" w:hAnsi="Arial" w:cs="Arial"/>
          <w:b/>
          <w:bCs/>
          <w:color w:val="000000"/>
          <w:sz w:val="24"/>
          <w:szCs w:val="24"/>
        </w:rPr>
        <w:t>CÚ</w:t>
      </w:r>
      <w:r w:rsidR="003E1040" w:rsidRPr="003422DF">
        <w:rPr>
          <w:rFonts w:ascii="Arial" w:hAnsi="Arial" w:cs="Arial"/>
          <w:b/>
          <w:bCs/>
          <w:color w:val="000000"/>
          <w:sz w:val="24"/>
          <w:szCs w:val="24"/>
        </w:rPr>
        <w:t xml:space="preserve">MPLASE. - - - - - - - - - - - - - - - - - - - - - - - - - - - </w:t>
      </w:r>
      <w:r w:rsidR="003E1040">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11" w:rsidRDefault="00105511" w:rsidP="00DD5D31">
      <w:r>
        <w:separator/>
      </w:r>
    </w:p>
  </w:endnote>
  <w:endnote w:type="continuationSeparator" w:id="0">
    <w:p w:rsidR="00105511" w:rsidRDefault="00105511"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11" w:rsidRDefault="00105511" w:rsidP="00DD5D31">
      <w:r>
        <w:separator/>
      </w:r>
    </w:p>
  </w:footnote>
  <w:footnote w:type="continuationSeparator" w:id="0">
    <w:p w:rsidR="00105511" w:rsidRDefault="00105511"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E51F5A" w:rsidRPr="00E51F5A">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E72679">
          <w:rPr>
            <w:rFonts w:ascii="Arial" w:hAnsi="Arial" w:cs="Arial"/>
            <w:sz w:val="18"/>
            <w:szCs w:val="18"/>
          </w:rPr>
          <w:t>2</w:t>
        </w:r>
        <w:r w:rsidR="00D7799B">
          <w:rPr>
            <w:rFonts w:ascii="Arial" w:hAnsi="Arial" w:cs="Arial"/>
            <w:sz w:val="18"/>
            <w:szCs w:val="18"/>
          </w:rPr>
          <w:t>2</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2B9"/>
    <w:rsid w:val="000E55BC"/>
    <w:rsid w:val="000F14A5"/>
    <w:rsid w:val="000F2596"/>
    <w:rsid w:val="000F2A2C"/>
    <w:rsid w:val="00103661"/>
    <w:rsid w:val="00103F8A"/>
    <w:rsid w:val="00105511"/>
    <w:rsid w:val="00107B71"/>
    <w:rsid w:val="00111BF6"/>
    <w:rsid w:val="00116804"/>
    <w:rsid w:val="00125A51"/>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25FC"/>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1040"/>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002A"/>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70D9"/>
    <w:rsid w:val="006F10DE"/>
    <w:rsid w:val="006F1AA2"/>
    <w:rsid w:val="006F20E5"/>
    <w:rsid w:val="006F2B12"/>
    <w:rsid w:val="006F63D2"/>
    <w:rsid w:val="006F6DEB"/>
    <w:rsid w:val="007049C9"/>
    <w:rsid w:val="00707F8A"/>
    <w:rsid w:val="00713B4B"/>
    <w:rsid w:val="00716B4A"/>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7F7673"/>
    <w:rsid w:val="00805B55"/>
    <w:rsid w:val="00805BCC"/>
    <w:rsid w:val="00813B0D"/>
    <w:rsid w:val="00816487"/>
    <w:rsid w:val="00823229"/>
    <w:rsid w:val="00824579"/>
    <w:rsid w:val="008253C8"/>
    <w:rsid w:val="00825CAD"/>
    <w:rsid w:val="00826139"/>
    <w:rsid w:val="00832594"/>
    <w:rsid w:val="00832A5C"/>
    <w:rsid w:val="00834A24"/>
    <w:rsid w:val="00841415"/>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A445B"/>
    <w:rsid w:val="00AA508A"/>
    <w:rsid w:val="00AB1839"/>
    <w:rsid w:val="00AD002E"/>
    <w:rsid w:val="00AD168D"/>
    <w:rsid w:val="00AD3569"/>
    <w:rsid w:val="00AD69BB"/>
    <w:rsid w:val="00AE010A"/>
    <w:rsid w:val="00AE076A"/>
    <w:rsid w:val="00AE3BEB"/>
    <w:rsid w:val="00AE4415"/>
    <w:rsid w:val="00AE5C86"/>
    <w:rsid w:val="00AE61B2"/>
    <w:rsid w:val="00AE6C60"/>
    <w:rsid w:val="00AF2D5A"/>
    <w:rsid w:val="00AF32ED"/>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57DD"/>
    <w:rsid w:val="00C07F38"/>
    <w:rsid w:val="00C108C5"/>
    <w:rsid w:val="00C1103F"/>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5B75"/>
    <w:rsid w:val="00D56A4D"/>
    <w:rsid w:val="00D62FD0"/>
    <w:rsid w:val="00D650C4"/>
    <w:rsid w:val="00D70C31"/>
    <w:rsid w:val="00D72554"/>
    <w:rsid w:val="00D75347"/>
    <w:rsid w:val="00D771E9"/>
    <w:rsid w:val="00D774DE"/>
    <w:rsid w:val="00D7799B"/>
    <w:rsid w:val="00D93DE7"/>
    <w:rsid w:val="00D94CF3"/>
    <w:rsid w:val="00DA007E"/>
    <w:rsid w:val="00DA082B"/>
    <w:rsid w:val="00DA0D02"/>
    <w:rsid w:val="00DA2866"/>
    <w:rsid w:val="00DA3C18"/>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5CFB"/>
    <w:rsid w:val="00E42D35"/>
    <w:rsid w:val="00E43BF6"/>
    <w:rsid w:val="00E515F7"/>
    <w:rsid w:val="00E51F5A"/>
    <w:rsid w:val="00E54188"/>
    <w:rsid w:val="00E55533"/>
    <w:rsid w:val="00E55BF1"/>
    <w:rsid w:val="00E56565"/>
    <w:rsid w:val="00E6060B"/>
    <w:rsid w:val="00E609F1"/>
    <w:rsid w:val="00E637A4"/>
    <w:rsid w:val="00E72679"/>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12F2-3B90-4C99-8A9F-5D91B227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2336</Words>
  <Characters>12854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cp:revision>
  <cp:lastPrinted>2018-02-09T17:47:00Z</cp:lastPrinted>
  <dcterms:created xsi:type="dcterms:W3CDTF">2018-02-07T17:25:00Z</dcterms:created>
  <dcterms:modified xsi:type="dcterms:W3CDTF">2018-12-11T16:13:00Z</dcterms:modified>
</cp:coreProperties>
</file>