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41D2EED5" w:rsidR="0087542B" w:rsidRPr="00866FC7" w:rsidRDefault="0087542B" w:rsidP="00816C27">
            <w:pPr>
              <w:tabs>
                <w:tab w:val="left" w:pos="3103"/>
              </w:tabs>
              <w:ind w:left="1046" w:right="709" w:hanging="1046"/>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w:t>
            </w:r>
            <w:r w:rsidR="00A67B19" w:rsidRPr="00866FC7">
              <w:rPr>
                <w:rFonts w:ascii="Arial" w:eastAsia="Calibri" w:hAnsi="Arial" w:cs="Arial"/>
                <w:b/>
                <w:iCs/>
                <w:caps/>
                <w:sz w:val="26"/>
                <w:szCs w:val="26"/>
              </w:rPr>
              <w:t xml:space="preserve">TRIBUNAL </w:t>
            </w:r>
            <w:r w:rsidR="00A67B19">
              <w:rPr>
                <w:rFonts w:ascii="Arial" w:eastAsia="Calibri" w:hAnsi="Arial" w:cs="Arial"/>
                <w:b/>
                <w:iCs/>
                <w:caps/>
                <w:sz w:val="26"/>
                <w:szCs w:val="26"/>
              </w:rPr>
              <w:t>DE</w:t>
            </w:r>
            <w:r>
              <w:rPr>
                <w:rFonts w:ascii="Arial" w:eastAsia="Calibri" w:hAnsi="Arial" w:cs="Arial"/>
                <w:b/>
                <w:iCs/>
                <w:caps/>
                <w:sz w:val="26"/>
                <w:szCs w:val="26"/>
              </w:rPr>
              <w:t xml:space="preserv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816C27">
            <w:pPr>
              <w:tabs>
                <w:tab w:val="right" w:pos="8504"/>
              </w:tabs>
              <w:ind w:left="1046" w:right="709"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12D26D2B" w:rsidR="0087542B" w:rsidRDefault="0087542B" w:rsidP="00816C27">
            <w:pPr>
              <w:tabs>
                <w:tab w:val="right" w:pos="8504"/>
              </w:tabs>
              <w:ind w:left="1046" w:right="709"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7F3346">
              <w:rPr>
                <w:rFonts w:ascii="Arial" w:eastAsia="PMingLiU" w:hAnsi="Arial" w:cs="Arial"/>
                <w:b/>
                <w:iCs/>
                <w:caps/>
                <w:sz w:val="26"/>
                <w:szCs w:val="26"/>
                <w:lang w:eastAsia="zh-TW"/>
              </w:rPr>
              <w:t xml:space="preserve">      RECURSO DE REVISIÓN:  </w:t>
            </w:r>
            <w:r w:rsidR="008F3196">
              <w:rPr>
                <w:rFonts w:ascii="Arial" w:eastAsia="PMingLiU" w:hAnsi="Arial" w:cs="Arial"/>
                <w:b/>
                <w:iCs/>
                <w:caps/>
                <w:sz w:val="26"/>
                <w:szCs w:val="26"/>
                <w:lang w:eastAsia="zh-TW"/>
              </w:rPr>
              <w:t>0121/2019</w:t>
            </w:r>
          </w:p>
          <w:p w14:paraId="435CD4FA" w14:textId="77777777" w:rsidR="004D05D6" w:rsidRPr="00866FC7" w:rsidRDefault="004D05D6" w:rsidP="00816C27">
            <w:pPr>
              <w:tabs>
                <w:tab w:val="right" w:pos="8504"/>
              </w:tabs>
              <w:ind w:left="1046" w:right="709" w:hanging="1046"/>
              <w:jc w:val="both"/>
              <w:rPr>
                <w:rFonts w:ascii="Arial" w:eastAsia="PMingLiU" w:hAnsi="Arial" w:cs="Arial"/>
                <w:b/>
                <w:iCs/>
                <w:caps/>
                <w:sz w:val="26"/>
                <w:szCs w:val="26"/>
                <w:lang w:eastAsia="zh-TW"/>
              </w:rPr>
            </w:pPr>
          </w:p>
          <w:p w14:paraId="5231912B" w14:textId="08D9FD3C" w:rsidR="0087542B" w:rsidRPr="00866FC7" w:rsidRDefault="0087542B" w:rsidP="00816C27">
            <w:pPr>
              <w:tabs>
                <w:tab w:val="right" w:pos="8504"/>
              </w:tabs>
              <w:ind w:left="1046" w:right="709"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4E2127">
              <w:rPr>
                <w:rFonts w:ascii="Arial" w:eastAsia="PMingLiU" w:hAnsi="Arial" w:cs="Arial"/>
                <w:b/>
                <w:iCs/>
                <w:caps/>
                <w:sz w:val="26"/>
                <w:szCs w:val="26"/>
                <w:lang w:eastAsia="zh-TW"/>
              </w:rPr>
              <w:t>EXPEDIENTE</w:t>
            </w:r>
            <w:r w:rsidR="00063AEE">
              <w:rPr>
                <w:rFonts w:ascii="Arial" w:eastAsia="PMingLiU" w:hAnsi="Arial" w:cs="Arial"/>
                <w:b/>
                <w:iCs/>
                <w:caps/>
                <w:sz w:val="26"/>
                <w:szCs w:val="26"/>
                <w:lang w:eastAsia="zh-TW"/>
              </w:rPr>
              <w:t xml:space="preserve">: </w:t>
            </w:r>
            <w:r w:rsidR="008F3196">
              <w:rPr>
                <w:rFonts w:ascii="Arial" w:eastAsia="PMingLiU" w:hAnsi="Arial" w:cs="Arial"/>
                <w:b/>
                <w:iCs/>
                <w:caps/>
                <w:sz w:val="26"/>
                <w:szCs w:val="26"/>
                <w:lang w:eastAsia="zh-TW"/>
              </w:rPr>
              <w:t>065/2018</w:t>
            </w:r>
            <w:r>
              <w:rPr>
                <w:rFonts w:ascii="Arial" w:eastAsia="PMingLiU" w:hAnsi="Arial" w:cs="Arial"/>
                <w:b/>
                <w:iCs/>
                <w:caps/>
                <w:sz w:val="26"/>
                <w:szCs w:val="26"/>
                <w:lang w:eastAsia="zh-TW"/>
              </w:rPr>
              <w:t xml:space="preserve"> DE LA </w:t>
            </w:r>
            <w:r w:rsidR="008F3196">
              <w:rPr>
                <w:rFonts w:ascii="Arial" w:eastAsia="PMingLiU" w:hAnsi="Arial" w:cs="Arial"/>
                <w:b/>
                <w:iCs/>
                <w:caps/>
                <w:sz w:val="26"/>
                <w:szCs w:val="26"/>
                <w:lang w:eastAsia="zh-TW"/>
              </w:rPr>
              <w:t xml:space="preserve">TERCERA </w:t>
            </w:r>
            <w:r>
              <w:rPr>
                <w:rFonts w:ascii="Arial" w:eastAsia="PMingLiU" w:hAnsi="Arial" w:cs="Arial"/>
                <w:b/>
                <w:iCs/>
                <w:caps/>
                <w:sz w:val="26"/>
                <w:szCs w:val="26"/>
                <w:lang w:eastAsia="zh-TW"/>
              </w:rPr>
              <w:t>sala</w:t>
            </w:r>
            <w:r w:rsidR="007F3346">
              <w:rPr>
                <w:rFonts w:ascii="Arial" w:eastAsia="PMingLiU" w:hAnsi="Arial" w:cs="Arial"/>
                <w:b/>
                <w:iCs/>
                <w:caps/>
                <w:sz w:val="26"/>
                <w:szCs w:val="26"/>
                <w:lang w:eastAsia="zh-TW"/>
              </w:rPr>
              <w:t xml:space="preserve"> UNI</w:t>
            </w:r>
            <w:r w:rsidRPr="00866FC7">
              <w:rPr>
                <w:rFonts w:ascii="Arial" w:eastAsia="PMingLiU" w:hAnsi="Arial" w:cs="Arial"/>
                <w:b/>
                <w:iCs/>
                <w:caps/>
                <w:sz w:val="26"/>
                <w:szCs w:val="26"/>
                <w:lang w:eastAsia="zh-TW"/>
              </w:rPr>
              <w:t xml:space="preserve">ITARIA de primera instancia. </w:t>
            </w:r>
          </w:p>
          <w:p w14:paraId="529B098B" w14:textId="77777777" w:rsidR="0087542B" w:rsidRPr="00866FC7" w:rsidRDefault="0087542B" w:rsidP="00816C27">
            <w:pPr>
              <w:tabs>
                <w:tab w:val="right" w:pos="8504"/>
              </w:tabs>
              <w:ind w:left="1046" w:right="709"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FD4429B" w:rsidR="0087542B" w:rsidRPr="00866FC7" w:rsidRDefault="00966ECF" w:rsidP="00816C27">
            <w:pPr>
              <w:tabs>
                <w:tab w:val="right" w:pos="8504"/>
              </w:tabs>
              <w:ind w:left="1046" w:right="709" w:hanging="1046"/>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87542B">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sidR="0087542B">
              <w:rPr>
                <w:rFonts w:ascii="Arial" w:eastAsia="PMingLiU" w:hAnsi="Arial" w:cs="Arial"/>
                <w:b/>
                <w:iCs/>
                <w:caps/>
                <w:sz w:val="26"/>
                <w:szCs w:val="26"/>
                <w:lang w:eastAsia="zh-TW"/>
              </w:rPr>
              <w:t>MARÍA ELENA VILLA DE JARQUÍ</w:t>
            </w:r>
            <w:r w:rsidR="0087542B"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77777777"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41D401CF"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21190F">
        <w:rPr>
          <w:rFonts w:ascii="Arial" w:eastAsia="Calibri" w:hAnsi="Arial" w:cs="Arial"/>
          <w:b/>
          <w:sz w:val="26"/>
          <w:szCs w:val="26"/>
        </w:rPr>
        <w:t xml:space="preserve">AXACA DE JUÁREZ, OAXACA, </w:t>
      </w:r>
      <w:r w:rsidR="00966ECF">
        <w:rPr>
          <w:rFonts w:ascii="Arial" w:eastAsia="Calibri" w:hAnsi="Arial" w:cs="Arial"/>
          <w:b/>
          <w:sz w:val="26"/>
          <w:szCs w:val="26"/>
        </w:rPr>
        <w:t xml:space="preserve">VEINTINUEVE DE AGOSTO </w:t>
      </w:r>
      <w:r>
        <w:rPr>
          <w:rFonts w:ascii="Arial" w:eastAsia="Calibri" w:hAnsi="Arial" w:cs="Arial"/>
          <w:b/>
          <w:sz w:val="26"/>
          <w:szCs w:val="26"/>
        </w:rPr>
        <w:t>DE</w:t>
      </w:r>
      <w:r w:rsidR="00D05C72">
        <w:rPr>
          <w:rFonts w:ascii="Arial" w:eastAsia="Calibri" w:hAnsi="Arial" w:cs="Arial"/>
          <w:b/>
          <w:sz w:val="26"/>
          <w:szCs w:val="26"/>
        </w:rPr>
        <w:t xml:space="preserve"> </w:t>
      </w:r>
      <w:r>
        <w:rPr>
          <w:rFonts w:ascii="Arial" w:eastAsia="Calibri" w:hAnsi="Arial" w:cs="Arial"/>
          <w:b/>
          <w:sz w:val="26"/>
          <w:szCs w:val="26"/>
        </w:rPr>
        <w:t>DOS MIL DIECI</w:t>
      </w:r>
      <w:r w:rsidR="00D05C72">
        <w:rPr>
          <w:rFonts w:ascii="Arial" w:eastAsia="Calibri" w:hAnsi="Arial" w:cs="Arial"/>
          <w:b/>
          <w:sz w:val="26"/>
          <w:szCs w:val="26"/>
        </w:rPr>
        <w:t>NUEVE</w:t>
      </w:r>
      <w:r>
        <w:rPr>
          <w:rFonts w:ascii="Arial" w:eastAsia="Calibri" w:hAnsi="Arial" w:cs="Arial"/>
          <w:b/>
          <w:sz w:val="26"/>
          <w:szCs w:val="26"/>
        </w:rPr>
        <w:t xml:space="preserve">.   </w:t>
      </w:r>
    </w:p>
    <w:p w14:paraId="4013B2F0" w14:textId="47E7BF46" w:rsidR="00F43172" w:rsidRPr="00966ECF" w:rsidRDefault="0087542B" w:rsidP="00966ECF">
      <w:pPr>
        <w:spacing w:line="360" w:lineRule="auto"/>
        <w:ind w:firstLine="708"/>
        <w:jc w:val="both"/>
        <w:rPr>
          <w:rFonts w:ascii="Arial" w:eastAsia="Calibri" w:hAnsi="Arial" w:cs="Arial"/>
          <w:sz w:val="26"/>
          <w:szCs w:val="26"/>
        </w:rPr>
      </w:pPr>
      <w:r w:rsidRPr="00866FC7">
        <w:rPr>
          <w:rFonts w:ascii="Arial" w:hAnsi="Arial" w:cs="Arial"/>
          <w:sz w:val="26"/>
          <w:szCs w:val="26"/>
        </w:rPr>
        <w:t xml:space="preserve">Por recibido el Cuaderno de Revisión </w:t>
      </w:r>
      <w:r w:rsidR="008F3196">
        <w:rPr>
          <w:rFonts w:ascii="Arial" w:hAnsi="Arial" w:cs="Arial"/>
          <w:b/>
          <w:sz w:val="26"/>
          <w:szCs w:val="26"/>
        </w:rPr>
        <w:t>0121</w:t>
      </w:r>
      <w:r w:rsidRPr="00866FC7">
        <w:rPr>
          <w:rFonts w:ascii="Arial" w:hAnsi="Arial" w:cs="Arial"/>
          <w:b/>
          <w:sz w:val="26"/>
          <w:szCs w:val="26"/>
        </w:rPr>
        <w:t>/201</w:t>
      </w:r>
      <w:r w:rsidR="008F3196">
        <w:rPr>
          <w:rFonts w:ascii="Arial" w:hAnsi="Arial" w:cs="Arial"/>
          <w:b/>
          <w:sz w:val="26"/>
          <w:szCs w:val="26"/>
        </w:rPr>
        <w:t>9</w:t>
      </w:r>
      <w:r w:rsidRPr="00866FC7">
        <w:rPr>
          <w:rFonts w:ascii="Arial" w:hAnsi="Arial" w:cs="Arial"/>
          <w:sz w:val="26"/>
          <w:szCs w:val="26"/>
        </w:rPr>
        <w:t>, que remite la Secretaría General de Acuerdos, con motivo del recurso de revisión interpuesto por</w:t>
      </w:r>
      <w:r w:rsidR="004D05D6">
        <w:rPr>
          <w:rFonts w:ascii="Arial" w:hAnsi="Arial" w:cs="Arial"/>
          <w:b/>
          <w:sz w:val="26"/>
          <w:szCs w:val="26"/>
        </w:rPr>
        <w:t xml:space="preserve"> </w:t>
      </w:r>
      <w:r w:rsidR="001720D6">
        <w:rPr>
          <w:rFonts w:ascii="Arial" w:hAnsi="Arial" w:cs="Arial"/>
          <w:b/>
          <w:sz w:val="26"/>
          <w:szCs w:val="26"/>
        </w:rPr>
        <w:t>EL DIRECTOR GENERAL DE LA OFICINA DE PENSIONES DEL ESTADO DE OAXACA</w:t>
      </w:r>
      <w:r w:rsidR="001720D6"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Pr>
          <w:rFonts w:ascii="Arial" w:hAnsi="Arial" w:cs="Arial"/>
          <w:sz w:val="26"/>
          <w:szCs w:val="26"/>
        </w:rPr>
        <w:t xml:space="preserve">de la </w:t>
      </w:r>
      <w:r w:rsidR="004E2127">
        <w:rPr>
          <w:rFonts w:ascii="Arial" w:hAnsi="Arial" w:cs="Arial"/>
          <w:sz w:val="26"/>
          <w:szCs w:val="26"/>
        </w:rPr>
        <w:t>sentencia de</w:t>
      </w:r>
      <w:r w:rsidR="00966ECF">
        <w:rPr>
          <w:rFonts w:ascii="Arial" w:hAnsi="Arial" w:cs="Arial"/>
          <w:sz w:val="26"/>
          <w:szCs w:val="26"/>
        </w:rPr>
        <w:t xml:space="preserve"> </w:t>
      </w:r>
      <w:r w:rsidR="008F3196">
        <w:rPr>
          <w:rFonts w:ascii="Arial" w:hAnsi="Arial" w:cs="Arial"/>
          <w:sz w:val="26"/>
          <w:szCs w:val="26"/>
        </w:rPr>
        <w:t>19 diecinueve de marzo 2019 dos mil diecinueve</w:t>
      </w:r>
      <w:r>
        <w:rPr>
          <w:rFonts w:ascii="Arial" w:hAnsi="Arial" w:cs="Arial"/>
          <w:sz w:val="26"/>
          <w:szCs w:val="26"/>
        </w:rPr>
        <w:t>, dictada</w:t>
      </w:r>
      <w:r w:rsidRPr="00866FC7">
        <w:rPr>
          <w:rFonts w:ascii="Arial" w:hAnsi="Arial" w:cs="Arial"/>
          <w:sz w:val="26"/>
          <w:szCs w:val="26"/>
        </w:rPr>
        <w:t xml:space="preserve"> en el </w:t>
      </w:r>
      <w:r w:rsidR="004E2127">
        <w:rPr>
          <w:rFonts w:ascii="Arial" w:hAnsi="Arial" w:cs="Arial"/>
          <w:sz w:val="26"/>
          <w:szCs w:val="26"/>
        </w:rPr>
        <w:t>expediente</w:t>
      </w:r>
      <w:r w:rsidR="007F3346">
        <w:rPr>
          <w:rFonts w:ascii="Arial" w:hAnsi="Arial" w:cs="Arial"/>
          <w:sz w:val="26"/>
          <w:szCs w:val="26"/>
        </w:rPr>
        <w:t xml:space="preserve"> </w:t>
      </w:r>
      <w:r w:rsidR="008F3196">
        <w:rPr>
          <w:rFonts w:ascii="Arial" w:hAnsi="Arial" w:cs="Arial"/>
          <w:b/>
          <w:sz w:val="26"/>
          <w:szCs w:val="26"/>
        </w:rPr>
        <w:t>065</w:t>
      </w:r>
      <w:r w:rsidR="004D05D6">
        <w:rPr>
          <w:rFonts w:ascii="Arial" w:hAnsi="Arial" w:cs="Arial"/>
          <w:b/>
          <w:sz w:val="26"/>
          <w:szCs w:val="26"/>
        </w:rPr>
        <w:t>/201</w:t>
      </w:r>
      <w:r w:rsidR="008F3196">
        <w:rPr>
          <w:rFonts w:ascii="Arial" w:hAnsi="Arial" w:cs="Arial"/>
          <w:b/>
          <w:sz w:val="26"/>
          <w:szCs w:val="26"/>
        </w:rPr>
        <w:t>8</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8F3196">
        <w:rPr>
          <w:rFonts w:ascii="Arial" w:hAnsi="Arial" w:cs="Arial"/>
          <w:sz w:val="26"/>
          <w:szCs w:val="26"/>
        </w:rPr>
        <w:t xml:space="preserve">Tercera </w:t>
      </w:r>
      <w:r>
        <w:rPr>
          <w:rFonts w:ascii="Arial" w:hAnsi="Arial" w:cs="Arial"/>
          <w:sz w:val="26"/>
          <w:szCs w:val="26"/>
        </w:rPr>
        <w:t xml:space="preserve">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w:t>
      </w:r>
      <w:r w:rsidR="008F3196">
        <w:rPr>
          <w:rFonts w:ascii="Arial" w:hAnsi="Arial" w:cs="Arial"/>
          <w:sz w:val="26"/>
          <w:szCs w:val="26"/>
        </w:rPr>
        <w:t xml:space="preserve"> </w:t>
      </w:r>
      <w:r w:rsidR="00D104BF">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4D05D6">
        <w:rPr>
          <w:rFonts w:ascii="Arial" w:hAnsi="Arial" w:cs="Arial"/>
          <w:b/>
          <w:sz w:val="26"/>
          <w:szCs w:val="26"/>
        </w:rPr>
        <w:t xml:space="preserve">DIRECTOR  GENERAL DE LA OFICINA DE </w:t>
      </w:r>
      <w:r w:rsidR="0021190F">
        <w:rPr>
          <w:rFonts w:ascii="Arial" w:hAnsi="Arial" w:cs="Arial"/>
          <w:b/>
          <w:sz w:val="26"/>
          <w:szCs w:val="26"/>
        </w:rPr>
        <w:t>PENSIONES DEL ESTADO DE OAXACA,</w:t>
      </w:r>
      <w:r w:rsidR="008F3196" w:rsidRPr="008F3196">
        <w:rPr>
          <w:rFonts w:ascii="Arial" w:eastAsia="Calibri" w:hAnsi="Arial" w:cs="Arial"/>
          <w:sz w:val="26"/>
          <w:szCs w:val="26"/>
        </w:rPr>
        <w:t xml:space="preserve"> por lo que, con fundamento en los artículos 207 y 208 de la Ley de Justicia Administrativa para el Estado de Oaxaca, </w:t>
      </w:r>
      <w:r w:rsidR="00966ECF">
        <w:rPr>
          <w:rFonts w:ascii="Arial" w:eastAsia="Calibri" w:hAnsi="Arial" w:cs="Arial"/>
          <w:sz w:val="26"/>
          <w:szCs w:val="26"/>
        </w:rPr>
        <w:t xml:space="preserve">vigente al inicio del juicio principal, </w:t>
      </w:r>
      <w:r w:rsidR="008F3196" w:rsidRPr="008F3196">
        <w:rPr>
          <w:rFonts w:ascii="Arial" w:eastAsia="Calibri" w:hAnsi="Arial" w:cs="Arial"/>
          <w:sz w:val="26"/>
          <w:szCs w:val="26"/>
        </w:rPr>
        <w:t>se admite.  En consecuencia, se procede a dictar resolución en los siguientes términos:</w:t>
      </w:r>
    </w:p>
    <w:p w14:paraId="2A07FA36" w14:textId="1FB00DF2" w:rsidR="00A012FC" w:rsidRDefault="0087542B" w:rsidP="00F43172">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r w:rsidR="00FF4323">
        <w:rPr>
          <w:rFonts w:ascii="Arial" w:eastAsia="Calibri" w:hAnsi="Arial" w:cs="Arial"/>
          <w:b/>
          <w:bCs/>
          <w:sz w:val="26"/>
          <w:szCs w:val="26"/>
        </w:rPr>
        <w:t>:</w:t>
      </w:r>
    </w:p>
    <w:p w14:paraId="6B0CFBCB" w14:textId="77777777" w:rsidR="008F3196" w:rsidRPr="00866FC7" w:rsidRDefault="008F3196" w:rsidP="00F43172">
      <w:pPr>
        <w:spacing w:line="360" w:lineRule="auto"/>
        <w:jc w:val="center"/>
        <w:rPr>
          <w:rFonts w:ascii="Arial" w:eastAsia="Calibri" w:hAnsi="Arial" w:cs="Arial"/>
          <w:b/>
          <w:bCs/>
          <w:sz w:val="26"/>
          <w:szCs w:val="26"/>
        </w:rPr>
      </w:pPr>
    </w:p>
    <w:p w14:paraId="1497ABFD" w14:textId="6D180EE6"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w:t>
      </w:r>
      <w:r w:rsidR="004E2127">
        <w:rPr>
          <w:rFonts w:ascii="Arial" w:eastAsia="Calibri" w:hAnsi="Arial" w:cs="Arial"/>
          <w:sz w:val="26"/>
          <w:szCs w:val="26"/>
        </w:rPr>
        <w:t>sentencia</w:t>
      </w:r>
      <w:r w:rsidR="007F3346">
        <w:rPr>
          <w:rFonts w:ascii="Arial" w:eastAsia="Calibri" w:hAnsi="Arial" w:cs="Arial"/>
          <w:sz w:val="26"/>
          <w:szCs w:val="26"/>
        </w:rPr>
        <w:t xml:space="preserve"> de</w:t>
      </w:r>
      <w:r w:rsidR="008F3196">
        <w:rPr>
          <w:rFonts w:ascii="Arial" w:eastAsia="Calibri" w:hAnsi="Arial" w:cs="Arial"/>
          <w:sz w:val="26"/>
          <w:szCs w:val="26"/>
        </w:rPr>
        <w:t xml:space="preserve"> 19 diecinueve de marzo de 2019 dos mil diecinueve</w:t>
      </w:r>
      <w:r>
        <w:rPr>
          <w:rFonts w:ascii="Arial" w:eastAsia="Calibri" w:hAnsi="Arial" w:cs="Arial"/>
          <w:sz w:val="26"/>
          <w:szCs w:val="26"/>
        </w:rPr>
        <w:t xml:space="preserve">, dictado por la </w:t>
      </w:r>
      <w:r w:rsidR="008F3196">
        <w:rPr>
          <w:rFonts w:ascii="Arial" w:eastAsia="Calibri" w:hAnsi="Arial" w:cs="Arial"/>
          <w:sz w:val="26"/>
          <w:szCs w:val="26"/>
        </w:rPr>
        <w:t xml:space="preserve">Tercera </w:t>
      </w:r>
      <w:r>
        <w:rPr>
          <w:rFonts w:ascii="Arial" w:eastAsia="Calibri" w:hAnsi="Arial" w:cs="Arial"/>
          <w:sz w:val="26"/>
          <w:szCs w:val="26"/>
        </w:rPr>
        <w:t>Sala Unitaria</w:t>
      </w:r>
      <w:r w:rsidR="007F3346">
        <w:rPr>
          <w:rFonts w:ascii="Arial" w:eastAsia="Calibri" w:hAnsi="Arial" w:cs="Arial"/>
          <w:sz w:val="26"/>
          <w:szCs w:val="26"/>
        </w:rPr>
        <w:t xml:space="preserve"> de P</w:t>
      </w:r>
      <w:r>
        <w:rPr>
          <w:rFonts w:ascii="Arial" w:eastAsia="Calibri" w:hAnsi="Arial" w:cs="Arial"/>
          <w:sz w:val="26"/>
          <w:szCs w:val="26"/>
        </w:rPr>
        <w:t xml:space="preserve">rimera </w:t>
      </w:r>
      <w:r w:rsidR="007F3346">
        <w:rPr>
          <w:rFonts w:ascii="Arial" w:eastAsia="Calibri" w:hAnsi="Arial" w:cs="Arial"/>
          <w:sz w:val="26"/>
          <w:szCs w:val="26"/>
        </w:rPr>
        <w:t>I</w:t>
      </w:r>
      <w:r>
        <w:rPr>
          <w:rFonts w:ascii="Arial" w:eastAsia="Calibri" w:hAnsi="Arial" w:cs="Arial"/>
          <w:sz w:val="26"/>
          <w:szCs w:val="26"/>
        </w:rPr>
        <w:t>nstancia,</w:t>
      </w:r>
      <w:r w:rsidR="00F43172">
        <w:rPr>
          <w:rFonts w:ascii="Arial" w:hAnsi="Arial" w:cs="Arial"/>
          <w:b/>
          <w:sz w:val="26"/>
          <w:szCs w:val="26"/>
        </w:rPr>
        <w:t xml:space="preserve"> </w:t>
      </w:r>
      <w:r w:rsidR="001720D6">
        <w:rPr>
          <w:rFonts w:ascii="Arial" w:hAnsi="Arial" w:cs="Arial"/>
          <w:b/>
          <w:sz w:val="26"/>
          <w:szCs w:val="26"/>
        </w:rPr>
        <w:t>EL DIRECTOR GENERAL DE LA OFICINA DE PENSIONES DEL ESTADO DE OAXACA</w:t>
      </w:r>
      <w:r w:rsidR="001720D6" w:rsidRPr="00866FC7">
        <w:rPr>
          <w:rFonts w:ascii="Arial" w:hAnsi="Arial" w:cs="Arial"/>
          <w:b/>
          <w:sz w:val="26"/>
          <w:szCs w:val="26"/>
        </w:rPr>
        <w:t>,</w:t>
      </w:r>
      <w:r>
        <w:rPr>
          <w:rFonts w:ascii="Arial" w:eastAsia="Calibri" w:hAnsi="Arial" w:cs="Arial"/>
          <w:sz w:val="26"/>
          <w:szCs w:val="26"/>
        </w:rPr>
        <w:t xml:space="preserve"> interpuso en su contra recurso de revisión. </w:t>
      </w:r>
    </w:p>
    <w:p w14:paraId="01C8FEF5" w14:textId="77777777" w:rsidR="00D05C72" w:rsidRDefault="00D05C72" w:rsidP="0087542B">
      <w:pPr>
        <w:spacing w:line="360" w:lineRule="auto"/>
        <w:ind w:firstLine="709"/>
        <w:jc w:val="both"/>
        <w:rPr>
          <w:rFonts w:ascii="Arial" w:eastAsia="Calibri" w:hAnsi="Arial" w:cs="Arial"/>
          <w:sz w:val="26"/>
          <w:szCs w:val="26"/>
        </w:rPr>
      </w:pPr>
    </w:p>
    <w:p w14:paraId="16E9AFE2" w14:textId="0475C312" w:rsidR="00D05C72" w:rsidRDefault="00D05C72" w:rsidP="00D05C72">
      <w:pPr>
        <w:spacing w:line="360" w:lineRule="auto"/>
        <w:jc w:val="both"/>
        <w:rPr>
          <w:rFonts w:ascii="Arial" w:hAnsi="Arial" w:cs="Arial"/>
          <w:sz w:val="26"/>
          <w:szCs w:val="26"/>
        </w:rPr>
      </w:pPr>
      <w:r>
        <w:rPr>
          <w:rFonts w:ascii="Arial" w:eastAsia="Calibri" w:hAnsi="Arial" w:cs="Arial"/>
          <w:sz w:val="26"/>
          <w:szCs w:val="26"/>
        </w:rPr>
        <w:t xml:space="preserve">         </w:t>
      </w:r>
      <w:r w:rsidR="0087542B">
        <w:rPr>
          <w:rFonts w:ascii="Arial" w:eastAsia="Calibri" w:hAnsi="Arial" w:cs="Arial"/>
          <w:sz w:val="26"/>
          <w:szCs w:val="26"/>
        </w:rPr>
        <w:t xml:space="preserve"> </w:t>
      </w:r>
      <w:r w:rsidRPr="00E57CA4">
        <w:rPr>
          <w:rFonts w:ascii="Arial" w:hAnsi="Arial" w:cs="Arial"/>
          <w:b/>
          <w:bCs/>
          <w:sz w:val="26"/>
          <w:szCs w:val="26"/>
        </w:rPr>
        <w:t xml:space="preserve">SEGUNDO.- </w:t>
      </w:r>
      <w:r w:rsidRPr="00E57CA4">
        <w:rPr>
          <w:rFonts w:ascii="Arial" w:hAnsi="Arial" w:cs="Arial"/>
          <w:sz w:val="26"/>
          <w:szCs w:val="26"/>
        </w:rPr>
        <w:t xml:space="preserve">Los puntos resolutivos de la </w:t>
      </w:r>
      <w:r>
        <w:rPr>
          <w:rFonts w:ascii="Arial" w:hAnsi="Arial" w:cs="Arial"/>
          <w:sz w:val="26"/>
          <w:szCs w:val="26"/>
        </w:rPr>
        <w:t>sentencia</w:t>
      </w:r>
      <w:r w:rsidRPr="00E57CA4">
        <w:rPr>
          <w:rFonts w:ascii="Arial" w:hAnsi="Arial" w:cs="Arial"/>
          <w:sz w:val="26"/>
          <w:szCs w:val="26"/>
        </w:rPr>
        <w:t xml:space="preserve"> recurrida son los siguientes:</w:t>
      </w:r>
    </w:p>
    <w:p w14:paraId="7AE3ADF6" w14:textId="77777777" w:rsidR="00A012FC" w:rsidRPr="00E57CA4" w:rsidRDefault="00A012FC" w:rsidP="00D05C72">
      <w:pPr>
        <w:spacing w:line="360" w:lineRule="auto"/>
        <w:jc w:val="both"/>
        <w:rPr>
          <w:rFonts w:ascii="Arial" w:hAnsi="Arial" w:cs="Arial"/>
          <w:sz w:val="26"/>
          <w:szCs w:val="26"/>
        </w:rPr>
      </w:pPr>
    </w:p>
    <w:p w14:paraId="18598E03" w14:textId="644C75E6" w:rsidR="00D91FC1" w:rsidRPr="004309A3" w:rsidRDefault="00D05C72" w:rsidP="00966ECF">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“PRIMERO. </w:t>
      </w:r>
      <w:r w:rsidR="008F3196">
        <w:rPr>
          <w:rFonts w:ascii="Arial" w:eastAsia="Times New Roman" w:hAnsi="Arial" w:cs="Arial"/>
          <w:bCs/>
          <w:iCs/>
          <w:lang w:val="es-ES" w:eastAsia="es-ES"/>
        </w:rPr>
        <w:t xml:space="preserve">Esta Tercera Sala Unitaria de Primera Instancia del Tribunal de Justicia Administrativa del Estado, fue competente para </w:t>
      </w:r>
      <w:r w:rsidR="008F3196">
        <w:rPr>
          <w:rFonts w:ascii="Arial" w:eastAsia="Times New Roman" w:hAnsi="Arial" w:cs="Arial"/>
          <w:bCs/>
          <w:iCs/>
          <w:lang w:val="es-ES" w:eastAsia="es-ES"/>
        </w:rPr>
        <w:lastRenderedPageBreak/>
        <w:t>conocer y resolver del presente asunto. - - - - - - - - -</w:t>
      </w:r>
      <w:r w:rsidR="00966ECF">
        <w:rPr>
          <w:rFonts w:ascii="Arial" w:eastAsia="Times New Roman" w:hAnsi="Arial" w:cs="Arial"/>
          <w:bCs/>
          <w:iCs/>
          <w:lang w:val="es-ES" w:eastAsia="es-ES"/>
        </w:rPr>
        <w:t xml:space="preserve"> - - - - - - - - - - - - - - - </w:t>
      </w:r>
    </w:p>
    <w:p w14:paraId="22C0F9D2" w14:textId="2711789A" w:rsidR="00A012FC" w:rsidRPr="004309A3" w:rsidRDefault="00D05C72" w:rsidP="00966ECF">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SEGUNDO. </w:t>
      </w:r>
      <w:r w:rsidR="008F3196">
        <w:rPr>
          <w:rFonts w:ascii="Arial" w:eastAsia="Times New Roman" w:hAnsi="Arial" w:cs="Arial"/>
          <w:bCs/>
          <w:iCs/>
          <w:lang w:val="es-ES" w:eastAsia="es-ES"/>
        </w:rPr>
        <w:t xml:space="preserve">La personalidad de las partes, quedo acreditada en autos. - </w:t>
      </w:r>
    </w:p>
    <w:p w14:paraId="154F9FB6" w14:textId="2C68D078" w:rsidR="00D05C72" w:rsidRPr="004309A3" w:rsidRDefault="00D05C72" w:rsidP="00966ECF">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Cs/>
          <w:iCs/>
          <w:lang w:val="es-ES" w:eastAsia="es-ES"/>
        </w:rPr>
        <w:t xml:space="preserve"> </w:t>
      </w:r>
      <w:r w:rsidRPr="004309A3">
        <w:rPr>
          <w:rFonts w:ascii="Arial" w:eastAsia="Times New Roman" w:hAnsi="Arial" w:cs="Arial"/>
          <w:b/>
          <w:bCs/>
          <w:iCs/>
          <w:lang w:val="es-ES" w:eastAsia="es-ES"/>
        </w:rPr>
        <w:t>TERCERO.</w:t>
      </w:r>
      <w:r w:rsidR="00A012FC" w:rsidRPr="004309A3">
        <w:rPr>
          <w:rFonts w:ascii="Arial" w:eastAsia="Times New Roman" w:hAnsi="Arial" w:cs="Arial"/>
          <w:bCs/>
          <w:iCs/>
          <w:lang w:val="es-ES" w:eastAsia="es-ES"/>
        </w:rPr>
        <w:t xml:space="preserve"> </w:t>
      </w:r>
      <w:r w:rsidR="005F5963">
        <w:rPr>
          <w:rFonts w:ascii="Arial" w:eastAsia="Times New Roman" w:hAnsi="Arial" w:cs="Arial"/>
          <w:bCs/>
          <w:iCs/>
          <w:lang w:val="es-ES" w:eastAsia="es-ES"/>
        </w:rPr>
        <w:t xml:space="preserve">Se </w:t>
      </w:r>
      <w:r w:rsidR="003913BA">
        <w:rPr>
          <w:rFonts w:ascii="Arial" w:eastAsia="Times New Roman" w:hAnsi="Arial" w:cs="Arial"/>
          <w:bCs/>
          <w:iCs/>
          <w:lang w:val="es-ES" w:eastAsia="es-ES"/>
        </w:rPr>
        <w:t xml:space="preserve">declara </w:t>
      </w:r>
      <w:r w:rsidR="003913BA" w:rsidRPr="003913BA">
        <w:rPr>
          <w:rFonts w:ascii="Arial" w:eastAsia="Times New Roman" w:hAnsi="Arial" w:cs="Arial"/>
          <w:b/>
          <w:bCs/>
          <w:iCs/>
          <w:lang w:val="es-ES" w:eastAsia="es-ES"/>
        </w:rPr>
        <w:t>LA NULIDAD</w:t>
      </w:r>
      <w:r w:rsidR="003913BA">
        <w:rPr>
          <w:rFonts w:ascii="Arial" w:eastAsia="Times New Roman" w:hAnsi="Arial" w:cs="Arial"/>
          <w:bCs/>
          <w:iCs/>
          <w:lang w:val="es-ES" w:eastAsia="es-ES"/>
        </w:rPr>
        <w:t xml:space="preserve"> de la resolución contenida en oficio OP/DG/1526/2018 de veintiocho de junio de dos mil dieciocho, </w:t>
      </w:r>
      <w:r w:rsidR="003913BA" w:rsidRPr="003913BA">
        <w:rPr>
          <w:rFonts w:ascii="Arial" w:eastAsia="Times New Roman" w:hAnsi="Arial" w:cs="Arial"/>
          <w:b/>
          <w:bCs/>
          <w:iCs/>
          <w:lang w:val="es-ES" w:eastAsia="es-ES"/>
        </w:rPr>
        <w:t>para efecto</w:t>
      </w:r>
      <w:r w:rsidR="003913BA">
        <w:rPr>
          <w:rFonts w:ascii="Arial" w:eastAsia="Times New Roman" w:hAnsi="Arial" w:cs="Arial"/>
          <w:bCs/>
          <w:iCs/>
          <w:lang w:val="es-ES" w:eastAsia="es-ES"/>
        </w:rPr>
        <w:t xml:space="preserve"> de que el DIRECTOR GENERAL DE LA OFICINA DE PENSIONES DEL GOBIERNO DEL ESTADO DE OAXACA, otorgue a </w:t>
      </w:r>
      <w:bookmarkStart w:id="0" w:name="_GoBack"/>
      <w:bookmarkEnd w:id="0"/>
      <w:r w:rsidR="003B2C34">
        <w:t>**********</w:t>
      </w:r>
      <w:r w:rsidR="003913BA">
        <w:rPr>
          <w:rFonts w:ascii="Arial" w:eastAsia="Times New Roman" w:hAnsi="Arial" w:cs="Arial"/>
          <w:bCs/>
          <w:iCs/>
          <w:lang w:val="es-ES" w:eastAsia="es-ES"/>
        </w:rPr>
        <w:t xml:space="preserve">, la pensión que corresponda de acuerdo al artículo 51 fracción I, en relación con el 56 de la Ley de Pensiones para Empleados del Gobierno del Estado de Oaxaca; así mismo, deberá pagar de manera retroactiva a la parte actora, las cantidades que dejo de pagar; a partir del mes de junio de dos mil cinco a la fecha. - - - - - - - </w:t>
      </w:r>
    </w:p>
    <w:p w14:paraId="7B2CB453" w14:textId="524B4938" w:rsidR="00D05C72" w:rsidRPr="004309A3" w:rsidRDefault="005F5963" w:rsidP="00EC71E5">
      <w:pPr>
        <w:widowControl w:val="0"/>
        <w:tabs>
          <w:tab w:val="left" w:pos="7938"/>
        </w:tabs>
        <w:spacing w:line="360" w:lineRule="auto"/>
        <w:ind w:left="993" w:right="333"/>
        <w:jc w:val="both"/>
        <w:rPr>
          <w:rFonts w:ascii="Arial" w:eastAsia="Times New Roman" w:hAnsi="Arial" w:cs="Arial"/>
          <w:bCs/>
          <w:iCs/>
          <w:lang w:val="es-ES" w:eastAsia="es-ES"/>
        </w:rPr>
      </w:pPr>
      <w:r>
        <w:rPr>
          <w:rFonts w:ascii="Arial" w:eastAsia="Times New Roman" w:hAnsi="Arial" w:cs="Arial"/>
          <w:b/>
          <w:bCs/>
          <w:iCs/>
          <w:lang w:val="es-ES" w:eastAsia="es-ES"/>
        </w:rPr>
        <w:t xml:space="preserve">CUARTO.- </w:t>
      </w:r>
      <w:r w:rsidR="00D05C72" w:rsidRPr="004309A3">
        <w:rPr>
          <w:rFonts w:ascii="Arial" w:eastAsia="Times New Roman" w:hAnsi="Arial" w:cs="Arial"/>
          <w:b/>
          <w:bCs/>
          <w:iCs/>
          <w:lang w:val="es-ES" w:eastAsia="es-ES"/>
        </w:rPr>
        <w:t xml:space="preserve"> </w:t>
      </w:r>
      <w:r w:rsidR="00D05C72" w:rsidRPr="004309A3">
        <w:rPr>
          <w:rFonts w:ascii="Arial" w:eastAsia="Times New Roman" w:hAnsi="Arial" w:cs="Arial"/>
          <w:bCs/>
          <w:iCs/>
          <w:lang w:val="es-ES" w:eastAsia="es-ES"/>
        </w:rPr>
        <w:t xml:space="preserve">Conforme a </w:t>
      </w:r>
      <w:r w:rsidR="003913BA">
        <w:rPr>
          <w:rFonts w:ascii="Arial" w:eastAsia="Times New Roman" w:hAnsi="Arial" w:cs="Arial"/>
          <w:bCs/>
          <w:iCs/>
          <w:lang w:val="es-ES" w:eastAsia="es-ES"/>
        </w:rPr>
        <w:t xml:space="preserve">lo dispuesto en los artículos 172 </w:t>
      </w:r>
      <w:proofErr w:type="gramStart"/>
      <w:r w:rsidR="003913BA">
        <w:rPr>
          <w:rFonts w:ascii="Arial" w:eastAsia="Times New Roman" w:hAnsi="Arial" w:cs="Arial"/>
          <w:bCs/>
          <w:iCs/>
          <w:lang w:val="es-ES" w:eastAsia="es-ES"/>
        </w:rPr>
        <w:t>fracción</w:t>
      </w:r>
      <w:proofErr w:type="gramEnd"/>
      <w:r w:rsidR="003913BA">
        <w:rPr>
          <w:rFonts w:ascii="Arial" w:eastAsia="Times New Roman" w:hAnsi="Arial" w:cs="Arial"/>
          <w:bCs/>
          <w:iCs/>
          <w:lang w:val="es-ES" w:eastAsia="es-ES"/>
        </w:rPr>
        <w:t xml:space="preserve"> I, y 17</w:t>
      </w:r>
      <w:r w:rsidR="00D05C72" w:rsidRPr="004309A3">
        <w:rPr>
          <w:rFonts w:ascii="Arial" w:eastAsia="Times New Roman" w:hAnsi="Arial" w:cs="Arial"/>
          <w:bCs/>
          <w:iCs/>
          <w:lang w:val="es-ES" w:eastAsia="es-ES"/>
        </w:rPr>
        <w:t>3, fracciones I y II de la Ley de</w:t>
      </w:r>
      <w:r w:rsidR="003913BA">
        <w:rPr>
          <w:rFonts w:ascii="Arial" w:eastAsia="Times New Roman" w:hAnsi="Arial" w:cs="Arial"/>
          <w:bCs/>
          <w:iCs/>
          <w:lang w:val="es-ES" w:eastAsia="es-ES"/>
        </w:rPr>
        <w:t xml:space="preserve"> Procedimiento y</w:t>
      </w:r>
      <w:r w:rsidR="00D05C72" w:rsidRPr="004309A3">
        <w:rPr>
          <w:rFonts w:ascii="Arial" w:eastAsia="Times New Roman" w:hAnsi="Arial" w:cs="Arial"/>
          <w:bCs/>
          <w:iCs/>
          <w:lang w:val="es-ES" w:eastAsia="es-ES"/>
        </w:rPr>
        <w:t xml:space="preserve"> Justicia Administrativa para el Estado, </w:t>
      </w:r>
      <w:r w:rsidR="00D05C72" w:rsidRPr="004309A3">
        <w:rPr>
          <w:rFonts w:ascii="Arial" w:eastAsia="Times New Roman" w:hAnsi="Arial" w:cs="Arial"/>
          <w:b/>
          <w:bCs/>
          <w:iCs/>
          <w:lang w:val="es-ES" w:eastAsia="es-ES"/>
        </w:rPr>
        <w:t>NOTIFÍQUESE PERSONALMENTE A LA</w:t>
      </w:r>
      <w:r w:rsidR="003913BA">
        <w:rPr>
          <w:rFonts w:ascii="Arial" w:eastAsia="Times New Roman" w:hAnsi="Arial" w:cs="Arial"/>
          <w:b/>
          <w:bCs/>
          <w:iCs/>
          <w:lang w:val="es-ES" w:eastAsia="es-ES"/>
        </w:rPr>
        <w:t xml:space="preserve"> PARTE ACTORA Y POR OFICIO A LA AUTORIDAD DEMANDADA</w:t>
      </w:r>
      <w:r w:rsidR="00D05C72" w:rsidRPr="004309A3">
        <w:rPr>
          <w:rFonts w:ascii="Arial" w:eastAsia="Times New Roman" w:hAnsi="Arial" w:cs="Arial"/>
          <w:b/>
          <w:bCs/>
          <w:iCs/>
          <w:lang w:val="es-ES" w:eastAsia="es-ES"/>
        </w:rPr>
        <w:t>. CÚMPLASE”</w:t>
      </w:r>
    </w:p>
    <w:p w14:paraId="0F454C16" w14:textId="588BAA1E" w:rsidR="0087542B" w:rsidRPr="00BF1B8B" w:rsidRDefault="00D05C72" w:rsidP="00BF1B8B">
      <w:pPr>
        <w:widowControl w:val="0"/>
        <w:tabs>
          <w:tab w:val="left" w:pos="2835"/>
          <w:tab w:val="left" w:pos="7938"/>
        </w:tabs>
        <w:spacing w:line="360" w:lineRule="auto"/>
        <w:ind w:left="1134" w:right="17"/>
        <w:jc w:val="both"/>
        <w:rPr>
          <w:rFonts w:ascii="Arial" w:eastAsia="Times New Roman" w:hAnsi="Arial" w:cs="Arial"/>
          <w:bCs/>
          <w:iCs/>
          <w:lang w:val="es-ES" w:eastAsia="es-ES"/>
        </w:rPr>
      </w:pPr>
      <w:r w:rsidRPr="00E57CA4">
        <w:rPr>
          <w:rFonts w:ascii="Arial" w:eastAsia="Times New Roman" w:hAnsi="Arial" w:cs="Arial"/>
          <w:bCs/>
          <w:iCs/>
          <w:lang w:val="es-ES" w:eastAsia="es-ES"/>
        </w:rPr>
        <w:t xml:space="preserve">            </w:t>
      </w:r>
    </w:p>
    <w:p w14:paraId="396921AC" w14:textId="7E513FAB" w:rsidR="00D05C72" w:rsidRDefault="00D874EF" w:rsidP="0087542B">
      <w:pPr>
        <w:spacing w:line="360" w:lineRule="auto"/>
        <w:ind w:firstLine="709"/>
        <w:jc w:val="both"/>
        <w:rPr>
          <w:rFonts w:ascii="Arial" w:eastAsia="Calibri" w:hAnsi="Arial" w:cs="Arial"/>
          <w:sz w:val="26"/>
          <w:szCs w:val="26"/>
        </w:rPr>
      </w:pPr>
      <w:r>
        <w:rPr>
          <w:rFonts w:ascii="Arial" w:eastAsia="Times New Roman" w:hAnsi="Arial" w:cs="Arial"/>
          <w:b/>
          <w:bCs/>
          <w:iCs/>
          <w:lang w:val="es-ES" w:eastAsia="es-ES"/>
        </w:rPr>
        <w:t xml:space="preserve">                                          </w:t>
      </w:r>
      <w:r w:rsidR="009E22A6" w:rsidRPr="00E57CA4">
        <w:rPr>
          <w:rFonts w:ascii="Arial" w:eastAsia="Times New Roman" w:hAnsi="Arial" w:cs="Arial"/>
          <w:b/>
          <w:bCs/>
          <w:iCs/>
          <w:lang w:val="es-ES" w:eastAsia="es-ES"/>
        </w:rPr>
        <w:t xml:space="preserve">  </w:t>
      </w:r>
      <w:r w:rsidR="009E22A6" w:rsidRPr="00E57CA4">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w:t>
      </w:r>
    </w:p>
    <w:p w14:paraId="15E368A2" w14:textId="1190B807" w:rsidR="007C4404" w:rsidRPr="00866FC7" w:rsidRDefault="007C4404" w:rsidP="004A650B">
      <w:pPr>
        <w:widowControl w:val="0"/>
        <w:tabs>
          <w:tab w:val="left" w:pos="2835"/>
          <w:tab w:val="left" w:pos="7938"/>
        </w:tabs>
        <w:spacing w:line="360" w:lineRule="auto"/>
        <w:ind w:right="17"/>
        <w:rPr>
          <w:rFonts w:ascii="Arial" w:eastAsia="Times New Roman" w:hAnsi="Arial" w:cs="Arial"/>
          <w:bCs/>
          <w:iCs/>
          <w:lang w:eastAsia="es-ES"/>
        </w:rPr>
      </w:pPr>
    </w:p>
    <w:p w14:paraId="5031CC4B" w14:textId="724DE8FA" w:rsidR="007C4404" w:rsidRPr="00973936" w:rsidRDefault="004A650B" w:rsidP="007C4404">
      <w:pPr>
        <w:spacing w:line="360" w:lineRule="auto"/>
        <w:jc w:val="both"/>
        <w:rPr>
          <w:rFonts w:ascii="Arial" w:hAnsi="Arial" w:cs="Arial"/>
          <w:sz w:val="26"/>
          <w:szCs w:val="26"/>
        </w:rPr>
      </w:pPr>
      <w:r>
        <w:rPr>
          <w:rFonts w:ascii="Arial" w:hAnsi="Arial" w:cs="Arial"/>
          <w:b/>
          <w:bCs/>
          <w:iCs/>
          <w:sz w:val="26"/>
          <w:szCs w:val="26"/>
          <w:lang w:eastAsia="es-ES"/>
        </w:rPr>
        <w:tab/>
      </w:r>
      <w:r w:rsidR="007C4404">
        <w:rPr>
          <w:rFonts w:ascii="Arial" w:hAnsi="Arial" w:cs="Arial"/>
          <w:b/>
          <w:bCs/>
          <w:iCs/>
          <w:sz w:val="26"/>
          <w:szCs w:val="26"/>
          <w:lang w:eastAsia="es-ES"/>
        </w:rPr>
        <w:t>PRIMERO</w:t>
      </w:r>
      <w:r w:rsidR="00BF1B8B">
        <w:rPr>
          <w:rFonts w:ascii="Arial" w:hAnsi="Arial" w:cs="Arial"/>
          <w:b/>
          <w:bCs/>
          <w:iCs/>
          <w:sz w:val="26"/>
          <w:szCs w:val="26"/>
        </w:rPr>
        <w:t>.</w:t>
      </w:r>
      <w:r w:rsidR="003913BA" w:rsidRPr="003913BA">
        <w:rPr>
          <w:rFonts w:ascii="Arial" w:hAnsi="Arial" w:cs="Arial"/>
          <w:bCs/>
          <w:iCs/>
          <w:sz w:val="26"/>
          <w:szCs w:val="26"/>
        </w:rPr>
        <w:t xml:space="preserve"> </w:t>
      </w:r>
      <w:r w:rsidR="00816C27">
        <w:rPr>
          <w:rFonts w:ascii="Arial" w:hAnsi="Arial" w:cs="Arial"/>
          <w:bCs/>
          <w:iCs/>
          <w:sz w:val="26"/>
          <w:szCs w:val="26"/>
        </w:rPr>
        <w:t xml:space="preserve">Esta Sala Superior </w:t>
      </w:r>
      <w:r w:rsidR="00816C27" w:rsidRPr="00F37C43">
        <w:rPr>
          <w:rFonts w:ascii="Arial" w:hAnsi="Arial" w:cs="Arial"/>
          <w:bCs/>
          <w:iCs/>
          <w:sz w:val="26"/>
          <w:szCs w:val="26"/>
        </w:rPr>
        <w:t>es competente para conocer del presente asunto, de conformidad con lo dispuesto por los artículos</w:t>
      </w:r>
      <w:r w:rsidR="00816C27">
        <w:rPr>
          <w:rFonts w:ascii="Arial" w:hAnsi="Arial" w:cs="Arial"/>
          <w:bCs/>
          <w:iCs/>
          <w:sz w:val="26"/>
          <w:szCs w:val="26"/>
        </w:rPr>
        <w:t xml:space="preserve"> 114 QUÁTER, de la Constitución Política del Estado Libre y Soberano de Oaxaca, 82 fracción III</w:t>
      </w:r>
      <w:r w:rsidR="00816C27" w:rsidRPr="000E0374">
        <w:rPr>
          <w:rFonts w:ascii="Arial" w:hAnsi="Arial" w:cs="Arial"/>
          <w:bCs/>
          <w:iCs/>
          <w:sz w:val="26"/>
          <w:szCs w:val="26"/>
        </w:rPr>
        <w:t xml:space="preserve">, </w:t>
      </w:r>
      <w:r w:rsidR="00816C27">
        <w:rPr>
          <w:rFonts w:ascii="Arial" w:hAnsi="Arial" w:cs="Arial"/>
          <w:bCs/>
          <w:iCs/>
          <w:sz w:val="26"/>
          <w:szCs w:val="26"/>
        </w:rPr>
        <w:t>86</w:t>
      </w:r>
      <w:r w:rsidR="00816C27" w:rsidRPr="000E0374">
        <w:rPr>
          <w:rFonts w:ascii="Arial" w:hAnsi="Arial" w:cs="Arial"/>
          <w:bCs/>
          <w:iCs/>
          <w:sz w:val="26"/>
          <w:szCs w:val="26"/>
        </w:rPr>
        <w:t xml:space="preserve">, </w:t>
      </w:r>
      <w:r w:rsidR="00816C27">
        <w:rPr>
          <w:rFonts w:ascii="Arial" w:hAnsi="Arial" w:cs="Arial"/>
          <w:bCs/>
          <w:iCs/>
          <w:sz w:val="26"/>
          <w:szCs w:val="26"/>
        </w:rPr>
        <w:t>88</w:t>
      </w:r>
      <w:r w:rsidR="00816C27" w:rsidRPr="000E0374">
        <w:rPr>
          <w:rFonts w:ascii="Arial" w:hAnsi="Arial" w:cs="Arial"/>
          <w:bCs/>
          <w:iCs/>
          <w:sz w:val="26"/>
          <w:szCs w:val="26"/>
        </w:rPr>
        <w:t xml:space="preserve">, </w:t>
      </w:r>
      <w:r w:rsidR="00816C27">
        <w:rPr>
          <w:rFonts w:ascii="Arial" w:hAnsi="Arial" w:cs="Arial"/>
          <w:bCs/>
          <w:iCs/>
          <w:sz w:val="26"/>
          <w:szCs w:val="26"/>
        </w:rPr>
        <w:t>92</w:t>
      </w:r>
      <w:r w:rsidR="00816C27" w:rsidRPr="000E0374">
        <w:rPr>
          <w:rFonts w:ascii="Arial" w:hAnsi="Arial" w:cs="Arial"/>
          <w:bCs/>
          <w:iCs/>
          <w:sz w:val="26"/>
          <w:szCs w:val="26"/>
        </w:rPr>
        <w:t xml:space="preserve">, </w:t>
      </w:r>
      <w:r w:rsidR="00816C27">
        <w:rPr>
          <w:rFonts w:ascii="Arial" w:hAnsi="Arial" w:cs="Arial"/>
          <w:bCs/>
          <w:iCs/>
          <w:sz w:val="26"/>
          <w:szCs w:val="26"/>
        </w:rPr>
        <w:t>93,</w:t>
      </w:r>
      <w:r w:rsidR="00816C27" w:rsidRPr="000E0374">
        <w:rPr>
          <w:rFonts w:ascii="Arial" w:hAnsi="Arial" w:cs="Arial"/>
          <w:bCs/>
          <w:iCs/>
          <w:sz w:val="26"/>
          <w:szCs w:val="26"/>
        </w:rPr>
        <w:t xml:space="preserve"> fracción I, </w:t>
      </w:r>
      <w:r w:rsidR="00816C27">
        <w:rPr>
          <w:rFonts w:ascii="Arial" w:hAnsi="Arial" w:cs="Arial"/>
          <w:bCs/>
          <w:iCs/>
          <w:sz w:val="26"/>
          <w:szCs w:val="26"/>
        </w:rPr>
        <w:t>94, 201</w:t>
      </w:r>
      <w:r w:rsidR="00816C27" w:rsidRPr="000E0374">
        <w:rPr>
          <w:rFonts w:ascii="Arial" w:hAnsi="Arial" w:cs="Arial"/>
          <w:bCs/>
          <w:iCs/>
          <w:sz w:val="26"/>
          <w:szCs w:val="26"/>
        </w:rPr>
        <w:t xml:space="preserve">, </w:t>
      </w:r>
      <w:r w:rsidR="00816C27">
        <w:rPr>
          <w:rFonts w:ascii="Arial" w:hAnsi="Arial" w:cs="Arial"/>
          <w:bCs/>
          <w:iCs/>
          <w:sz w:val="26"/>
          <w:szCs w:val="26"/>
        </w:rPr>
        <w:t>206</w:t>
      </w:r>
      <w:r w:rsidR="00816C27" w:rsidRPr="000E0374">
        <w:rPr>
          <w:rFonts w:ascii="Arial" w:hAnsi="Arial" w:cs="Arial"/>
          <w:bCs/>
          <w:iCs/>
          <w:sz w:val="26"/>
          <w:szCs w:val="26"/>
        </w:rPr>
        <w:t xml:space="preserve"> y 2</w:t>
      </w:r>
      <w:r w:rsidR="00816C27">
        <w:rPr>
          <w:rFonts w:ascii="Arial" w:hAnsi="Arial" w:cs="Arial"/>
          <w:bCs/>
          <w:iCs/>
          <w:sz w:val="26"/>
          <w:szCs w:val="26"/>
        </w:rPr>
        <w:t>08</w:t>
      </w:r>
      <w:r w:rsidR="00816C27" w:rsidRPr="000E0374">
        <w:rPr>
          <w:rFonts w:ascii="Arial" w:hAnsi="Arial" w:cs="Arial"/>
          <w:bCs/>
          <w:iCs/>
          <w:sz w:val="26"/>
          <w:szCs w:val="26"/>
        </w:rPr>
        <w:t xml:space="preserve"> de</w:t>
      </w:r>
      <w:r w:rsidR="00816C27" w:rsidRPr="00F37C43">
        <w:rPr>
          <w:rFonts w:ascii="Arial" w:hAnsi="Arial" w:cs="Arial"/>
          <w:bCs/>
          <w:iCs/>
          <w:sz w:val="26"/>
          <w:szCs w:val="26"/>
        </w:rPr>
        <w:t xml:space="preserve"> la Ley de Justicia Administrativa para el Estado de Oaxaca, </w:t>
      </w:r>
      <w:r w:rsidR="00F67C1F">
        <w:rPr>
          <w:rFonts w:ascii="Arial" w:hAnsi="Arial" w:cs="Arial"/>
          <w:bCs/>
          <w:iCs/>
          <w:sz w:val="26"/>
          <w:szCs w:val="26"/>
        </w:rPr>
        <w:t xml:space="preserve">vigente al inicio del juicio principal, </w:t>
      </w:r>
      <w:r w:rsidR="00816C27" w:rsidRPr="00F37C43">
        <w:rPr>
          <w:rFonts w:ascii="Arial" w:hAnsi="Arial" w:cs="Arial"/>
          <w:bCs/>
          <w:iCs/>
          <w:sz w:val="26"/>
          <w:szCs w:val="26"/>
        </w:rPr>
        <w:t xml:space="preserve">dado que se trata de un Recurso de Revisión interpuesto en contra </w:t>
      </w:r>
      <w:r w:rsidR="00816C27">
        <w:rPr>
          <w:rFonts w:ascii="Arial" w:hAnsi="Arial" w:cs="Arial"/>
          <w:bCs/>
          <w:iCs/>
          <w:sz w:val="26"/>
          <w:szCs w:val="26"/>
        </w:rPr>
        <w:t xml:space="preserve">de </w:t>
      </w:r>
      <w:r w:rsidR="00816C27">
        <w:rPr>
          <w:rFonts w:ascii="Arial" w:hAnsi="Arial" w:cs="Arial"/>
          <w:sz w:val="26"/>
          <w:szCs w:val="26"/>
        </w:rPr>
        <w:t>la Sentencia de 19 diecinueve de marzo de 2019 dos mil diecinueve, mismo que fue iniciado el 28 veintiocho de septiembre de 2018 dos mil dieciocho, dictada por la Tercera Sala Unitaria de Primera Instancia de este Tribunal,</w:t>
      </w:r>
      <w:r w:rsidR="00816C27" w:rsidRPr="00A52F58">
        <w:rPr>
          <w:rFonts w:ascii="Arial" w:hAnsi="Arial" w:cs="Arial"/>
          <w:bCs/>
          <w:iCs/>
          <w:sz w:val="26"/>
          <w:szCs w:val="26"/>
        </w:rPr>
        <w:t xml:space="preserve"> </w:t>
      </w:r>
      <w:r w:rsidR="00816C27" w:rsidRPr="00F37C43">
        <w:rPr>
          <w:rFonts w:ascii="Arial" w:hAnsi="Arial" w:cs="Arial"/>
          <w:bCs/>
          <w:iCs/>
          <w:sz w:val="26"/>
          <w:szCs w:val="26"/>
        </w:rPr>
        <w:t>en el Juicio</w:t>
      </w:r>
      <w:r w:rsidR="00816C27">
        <w:rPr>
          <w:rFonts w:ascii="Arial" w:hAnsi="Arial" w:cs="Arial"/>
          <w:bCs/>
          <w:iCs/>
          <w:sz w:val="26"/>
          <w:szCs w:val="26"/>
        </w:rPr>
        <w:t xml:space="preserve"> de nulidad </w:t>
      </w:r>
      <w:r w:rsidR="00816C27">
        <w:rPr>
          <w:rFonts w:ascii="Arial" w:hAnsi="Arial" w:cs="Arial"/>
          <w:b/>
          <w:bCs/>
          <w:iCs/>
          <w:sz w:val="26"/>
          <w:szCs w:val="26"/>
        </w:rPr>
        <w:t>065</w:t>
      </w:r>
      <w:r w:rsidR="00816C27" w:rsidRPr="005D2C5A">
        <w:rPr>
          <w:rFonts w:ascii="Arial" w:hAnsi="Arial" w:cs="Arial"/>
          <w:b/>
          <w:sz w:val="26"/>
          <w:szCs w:val="26"/>
        </w:rPr>
        <w:t>/20</w:t>
      </w:r>
      <w:r w:rsidR="00816C27">
        <w:rPr>
          <w:rFonts w:ascii="Arial" w:hAnsi="Arial" w:cs="Arial"/>
          <w:b/>
          <w:sz w:val="26"/>
          <w:szCs w:val="26"/>
        </w:rPr>
        <w:t>18</w:t>
      </w:r>
      <w:r w:rsidR="00816C27">
        <w:rPr>
          <w:rFonts w:ascii="Arial" w:hAnsi="Arial" w:cs="Arial"/>
          <w:b/>
          <w:bCs/>
          <w:iCs/>
          <w:sz w:val="26"/>
          <w:szCs w:val="26"/>
        </w:rPr>
        <w:t>.</w:t>
      </w:r>
    </w:p>
    <w:p w14:paraId="217730FD" w14:textId="77777777" w:rsidR="007C4404" w:rsidRDefault="007C4404" w:rsidP="007C4404">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5791D385" w14:textId="77777777" w:rsidR="00F53A11" w:rsidRDefault="00F53A11" w:rsidP="00F53A11">
      <w:pPr>
        <w:spacing w:line="360" w:lineRule="auto"/>
        <w:jc w:val="both"/>
        <w:rPr>
          <w:rFonts w:ascii="Arial" w:eastAsia="Calibri" w:hAnsi="Arial" w:cs="Arial"/>
          <w:bCs/>
          <w:sz w:val="26"/>
          <w:szCs w:val="26"/>
          <w:lang w:val="es-ES"/>
        </w:rPr>
      </w:pPr>
    </w:p>
    <w:p w14:paraId="6C0BFDA1" w14:textId="521C01FB" w:rsidR="00816C27" w:rsidRPr="00816C27" w:rsidRDefault="007C4404" w:rsidP="00F53A11">
      <w:pPr>
        <w:spacing w:line="360" w:lineRule="auto"/>
        <w:jc w:val="both"/>
        <w:rPr>
          <w:rFonts w:ascii="Arial" w:eastAsia="Calibri" w:hAnsi="Arial" w:cs="Arial"/>
          <w:bCs/>
          <w:sz w:val="24"/>
          <w:szCs w:val="24"/>
        </w:rPr>
      </w:pPr>
      <w:r w:rsidRPr="00E57CA4">
        <w:rPr>
          <w:rFonts w:ascii="Arial" w:hAnsi="Arial" w:cs="Arial"/>
          <w:b/>
          <w:bCs/>
          <w:sz w:val="26"/>
          <w:szCs w:val="26"/>
        </w:rPr>
        <w:t>TERCERO</w:t>
      </w:r>
      <w:r w:rsidR="00816C27">
        <w:rPr>
          <w:rFonts w:ascii="Arial" w:hAnsi="Arial" w:cs="Arial"/>
          <w:b/>
          <w:bCs/>
          <w:sz w:val="26"/>
          <w:szCs w:val="26"/>
        </w:rPr>
        <w:t>.</w:t>
      </w:r>
      <w:r w:rsidR="00EC71E5">
        <w:rPr>
          <w:rFonts w:ascii="Arial" w:hAnsi="Arial" w:cs="Arial"/>
          <w:b/>
          <w:bCs/>
          <w:sz w:val="26"/>
          <w:szCs w:val="26"/>
        </w:rPr>
        <w:t xml:space="preserve"> </w:t>
      </w:r>
      <w:r w:rsidR="00F034AB" w:rsidRPr="001720D6">
        <w:rPr>
          <w:rFonts w:ascii="Arial" w:hAnsi="Arial" w:cs="Arial"/>
          <w:bCs/>
          <w:sz w:val="26"/>
          <w:szCs w:val="26"/>
        </w:rPr>
        <w:t>Señala</w:t>
      </w:r>
      <w:r w:rsidR="00F53A11">
        <w:rPr>
          <w:rFonts w:ascii="Arial" w:eastAsia="Calibri" w:hAnsi="Arial" w:cs="Arial"/>
          <w:b/>
          <w:bCs/>
          <w:sz w:val="24"/>
          <w:szCs w:val="24"/>
        </w:rPr>
        <w:t xml:space="preserve"> </w:t>
      </w:r>
      <w:r w:rsidR="00F53A11" w:rsidRPr="00F53A11">
        <w:rPr>
          <w:rFonts w:ascii="Arial" w:eastAsia="Calibri" w:hAnsi="Arial" w:cs="Arial"/>
          <w:bCs/>
          <w:sz w:val="24"/>
          <w:szCs w:val="24"/>
        </w:rPr>
        <w:t>el recurrente</w:t>
      </w:r>
      <w:r w:rsidR="00F53A11">
        <w:rPr>
          <w:rFonts w:ascii="Arial" w:eastAsia="Calibri" w:hAnsi="Arial" w:cs="Arial"/>
          <w:b/>
          <w:bCs/>
          <w:sz w:val="24"/>
          <w:szCs w:val="24"/>
        </w:rPr>
        <w:t xml:space="preserve"> </w:t>
      </w:r>
      <w:r w:rsidR="00816C27" w:rsidRPr="00816C27">
        <w:rPr>
          <w:rFonts w:ascii="Arial" w:eastAsia="Calibri" w:hAnsi="Arial" w:cs="Arial"/>
          <w:bCs/>
          <w:sz w:val="24"/>
          <w:szCs w:val="24"/>
        </w:rPr>
        <w:t xml:space="preserve">que el acto combatido </w:t>
      </w:r>
      <w:r w:rsidR="0075277D">
        <w:rPr>
          <w:rFonts w:ascii="Arial" w:eastAsia="Calibri" w:hAnsi="Arial" w:cs="Arial"/>
          <w:bCs/>
          <w:sz w:val="24"/>
          <w:szCs w:val="24"/>
        </w:rPr>
        <w:t>(</w:t>
      </w:r>
      <w:r w:rsidR="00F53A11">
        <w:rPr>
          <w:rFonts w:ascii="Arial" w:eastAsia="Calibri" w:hAnsi="Arial" w:cs="Arial"/>
          <w:bCs/>
          <w:sz w:val="24"/>
          <w:szCs w:val="24"/>
        </w:rPr>
        <w:t>oficio OP/DG/1526/2018 de veintiocho de junio de dos mil dieciocho</w:t>
      </w:r>
      <w:r w:rsidR="00F67C1F">
        <w:rPr>
          <w:rFonts w:ascii="Arial" w:eastAsia="Calibri" w:hAnsi="Arial" w:cs="Arial"/>
          <w:bCs/>
          <w:sz w:val="24"/>
          <w:szCs w:val="24"/>
        </w:rPr>
        <w:t>)</w:t>
      </w:r>
      <w:r w:rsidR="00F53A11">
        <w:rPr>
          <w:rFonts w:ascii="Arial" w:eastAsia="Calibri" w:hAnsi="Arial" w:cs="Arial"/>
          <w:bCs/>
          <w:sz w:val="24"/>
          <w:szCs w:val="24"/>
        </w:rPr>
        <w:t xml:space="preserve">, </w:t>
      </w:r>
      <w:r w:rsidR="00816C27" w:rsidRPr="00816C27">
        <w:rPr>
          <w:rFonts w:ascii="Arial" w:eastAsia="Calibri" w:hAnsi="Arial" w:cs="Arial"/>
          <w:bCs/>
          <w:sz w:val="24"/>
          <w:szCs w:val="24"/>
        </w:rPr>
        <w:t xml:space="preserve">cuenta con la correcta fundamentación y </w:t>
      </w:r>
      <w:r w:rsidR="00F53A11">
        <w:rPr>
          <w:rFonts w:ascii="Arial" w:eastAsia="Calibri" w:hAnsi="Arial" w:cs="Arial"/>
          <w:bCs/>
          <w:sz w:val="24"/>
          <w:szCs w:val="24"/>
        </w:rPr>
        <w:t xml:space="preserve">motivación, actuando plenamente  con lo </w:t>
      </w:r>
      <w:r w:rsidR="00F53A11">
        <w:rPr>
          <w:rFonts w:ascii="Arial" w:eastAsia="Calibri" w:hAnsi="Arial" w:cs="Arial"/>
          <w:bCs/>
          <w:sz w:val="24"/>
          <w:szCs w:val="24"/>
        </w:rPr>
        <w:lastRenderedPageBreak/>
        <w:t xml:space="preserve">dispuesto por el artículo 16 de la constitución Política de los Estado Unidos Mexicanos convirtiendo a dicha resolución en un acto eficaz y valido. </w:t>
      </w:r>
    </w:p>
    <w:p w14:paraId="43CB561B" w14:textId="70DDB3E1" w:rsidR="00050BDC" w:rsidRPr="0075277D" w:rsidRDefault="00F034AB" w:rsidP="0075277D">
      <w:pPr>
        <w:spacing w:line="360" w:lineRule="auto"/>
        <w:ind w:firstLine="709"/>
        <w:jc w:val="both"/>
        <w:rPr>
          <w:rFonts w:ascii="Arial" w:hAnsi="Arial" w:cs="Arial"/>
          <w:bCs/>
          <w:sz w:val="26"/>
          <w:szCs w:val="26"/>
        </w:rPr>
      </w:pPr>
      <w:r w:rsidRPr="001720D6">
        <w:rPr>
          <w:rFonts w:ascii="Arial" w:hAnsi="Arial" w:cs="Arial"/>
          <w:bCs/>
          <w:sz w:val="26"/>
          <w:szCs w:val="26"/>
        </w:rPr>
        <w:t xml:space="preserve"> </w:t>
      </w:r>
    </w:p>
    <w:p w14:paraId="18CA78D8" w14:textId="6619EF4C" w:rsidR="0075277D" w:rsidRPr="0075277D" w:rsidRDefault="0075277D" w:rsidP="0075277D">
      <w:pPr>
        <w:spacing w:line="360" w:lineRule="auto"/>
        <w:ind w:firstLine="709"/>
        <w:jc w:val="both"/>
        <w:rPr>
          <w:rFonts w:ascii="Arial" w:eastAsia="Calibri" w:hAnsi="Arial" w:cs="Arial"/>
          <w:bCs/>
          <w:sz w:val="24"/>
          <w:szCs w:val="24"/>
        </w:rPr>
      </w:pPr>
      <w:r>
        <w:rPr>
          <w:rFonts w:ascii="Arial" w:eastAsia="Calibri" w:hAnsi="Arial" w:cs="Arial"/>
          <w:bCs/>
          <w:sz w:val="24"/>
          <w:szCs w:val="24"/>
        </w:rPr>
        <w:t>Este agravio es</w:t>
      </w:r>
      <w:r w:rsidRPr="0075277D">
        <w:rPr>
          <w:rFonts w:ascii="Arial" w:eastAsia="Calibri" w:hAnsi="Arial" w:cs="Arial"/>
          <w:bCs/>
          <w:sz w:val="24"/>
          <w:szCs w:val="24"/>
        </w:rPr>
        <w:t xml:space="preserve"> </w:t>
      </w:r>
      <w:r>
        <w:rPr>
          <w:rFonts w:ascii="Arial" w:eastAsia="Calibri" w:hAnsi="Arial" w:cs="Arial"/>
          <w:b/>
          <w:bCs/>
          <w:sz w:val="24"/>
          <w:szCs w:val="24"/>
        </w:rPr>
        <w:t>inoperante</w:t>
      </w:r>
      <w:r w:rsidRPr="0075277D">
        <w:rPr>
          <w:rFonts w:ascii="Arial" w:eastAsia="Calibri" w:hAnsi="Arial" w:cs="Arial"/>
          <w:b/>
          <w:bCs/>
          <w:sz w:val="24"/>
          <w:szCs w:val="24"/>
        </w:rPr>
        <w:t xml:space="preserve">, </w:t>
      </w:r>
      <w:r w:rsidRPr="0075277D">
        <w:rPr>
          <w:rFonts w:ascii="Arial" w:eastAsia="Calibri" w:hAnsi="Arial" w:cs="Arial"/>
          <w:bCs/>
          <w:sz w:val="24"/>
          <w:szCs w:val="24"/>
        </w:rPr>
        <w:t xml:space="preserve">es así porque no controvierten la determinación alzada. Se sostiene esto porque se trata de argumentos genéricos, ambiguos y que en manera alguna explican la forma en que la sentencia le agravia. Debe tomarse en cuenta que un verdadero agravio, de acuerdo a la técnica procesal debe contener la expresión de la parte del acto que le agravia pero además debe explicar en qué consiste la lesión sufrida con la actuación de la juzgadora, sin que sea posible establecer que de modo general que la resolución le agravia, es necesario cómo y porqué le agravia para que sea atendido su argumento. Se agrega que en segunda instancia no está permitida la suplencia de la queja, menos aun tratándose de la autoridad demandada al así disponerlo el artículo 118 de la Ley de Justicia Administrativa para el Estado de Oaxaca. Estas consideraciones encuentran apoyo en la jurisprudencia IV.3o. J/12 del Tercer Tribunal Colegiado del Cuarto Circuito de la octava época la cual está publicada en la Gaceta del Semanario Judicial de la Federación número 57 de septiembre de 1992, visible a página 57 con el rubro y texto del tenor literal siguiente: </w:t>
      </w:r>
    </w:p>
    <w:p w14:paraId="2A8AA4B3" w14:textId="77777777" w:rsidR="0075277D" w:rsidRPr="0075277D" w:rsidRDefault="0075277D" w:rsidP="0075277D">
      <w:pPr>
        <w:spacing w:line="360" w:lineRule="auto"/>
        <w:jc w:val="both"/>
        <w:rPr>
          <w:rFonts w:ascii="Arial" w:eastAsia="Calibri" w:hAnsi="Arial" w:cs="Arial"/>
          <w:bCs/>
          <w:sz w:val="26"/>
          <w:szCs w:val="26"/>
        </w:rPr>
      </w:pPr>
    </w:p>
    <w:p w14:paraId="23DD43A4" w14:textId="77777777" w:rsidR="0075277D" w:rsidRPr="0075277D" w:rsidRDefault="0075277D" w:rsidP="0075277D">
      <w:pPr>
        <w:spacing w:line="360" w:lineRule="auto"/>
        <w:ind w:left="851" w:right="778"/>
        <w:jc w:val="both"/>
        <w:rPr>
          <w:rFonts w:ascii="Arial" w:eastAsia="Calibri" w:hAnsi="Arial" w:cs="Arial"/>
          <w:bCs/>
          <w:i/>
        </w:rPr>
      </w:pPr>
      <w:r w:rsidRPr="0075277D">
        <w:rPr>
          <w:rFonts w:ascii="Arial" w:eastAsia="Calibri" w:hAnsi="Arial" w:cs="Arial"/>
          <w:b/>
          <w:bCs/>
          <w:i/>
        </w:rPr>
        <w:t>AGRAVIOS. DEBEN DE IMPUGNAR LA ILEGALIDAD DEL FALLO RECURRIDO</w:t>
      </w:r>
      <w:r w:rsidRPr="0075277D">
        <w:rPr>
          <w:rFonts w:ascii="Arial" w:eastAsia="Calibri" w:hAnsi="Arial" w:cs="Arial"/>
          <w:bCs/>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7A78B188" w14:textId="77777777" w:rsidR="0075277D" w:rsidRPr="0075277D" w:rsidRDefault="0075277D" w:rsidP="0075277D">
      <w:pPr>
        <w:spacing w:line="360" w:lineRule="auto"/>
        <w:jc w:val="both"/>
        <w:rPr>
          <w:rFonts w:ascii="Arial" w:eastAsia="Calibri" w:hAnsi="Arial" w:cs="Arial"/>
          <w:bCs/>
          <w:sz w:val="26"/>
          <w:szCs w:val="26"/>
        </w:rPr>
      </w:pPr>
    </w:p>
    <w:p w14:paraId="033FAF23" w14:textId="22AA1F2F" w:rsidR="0075277D" w:rsidRPr="0075277D" w:rsidRDefault="0075277D" w:rsidP="0075277D">
      <w:pPr>
        <w:spacing w:line="360" w:lineRule="auto"/>
        <w:ind w:firstLine="708"/>
        <w:jc w:val="both"/>
        <w:rPr>
          <w:rFonts w:ascii="Arial" w:eastAsia="Calibri" w:hAnsi="Arial" w:cs="Arial"/>
          <w:sz w:val="24"/>
          <w:szCs w:val="24"/>
        </w:rPr>
      </w:pPr>
      <w:r w:rsidRPr="0075277D">
        <w:rPr>
          <w:rFonts w:ascii="Arial" w:eastAsia="Calibri" w:hAnsi="Arial" w:cs="Arial"/>
          <w:sz w:val="24"/>
          <w:szCs w:val="24"/>
        </w:rPr>
        <w:t xml:space="preserve">En consecuencia ante </w:t>
      </w:r>
      <w:r w:rsidR="00F67C1F">
        <w:rPr>
          <w:rFonts w:ascii="Arial" w:eastAsia="Calibri" w:hAnsi="Arial" w:cs="Arial"/>
          <w:sz w:val="24"/>
          <w:szCs w:val="24"/>
        </w:rPr>
        <w:t xml:space="preserve">las anteriores consideraciones, </w:t>
      </w:r>
      <w:r w:rsidRPr="0075277D">
        <w:rPr>
          <w:rFonts w:ascii="Arial" w:eastAsia="Calibri" w:hAnsi="Arial" w:cs="Arial"/>
          <w:sz w:val="24"/>
          <w:szCs w:val="24"/>
        </w:rPr>
        <w:t xml:space="preserve">procede </w:t>
      </w:r>
      <w:r w:rsidRPr="0075277D">
        <w:rPr>
          <w:rFonts w:ascii="Arial" w:eastAsia="Calibri" w:hAnsi="Arial" w:cs="Arial"/>
          <w:b/>
          <w:sz w:val="24"/>
          <w:szCs w:val="24"/>
        </w:rPr>
        <w:t>CONFIRMAR</w:t>
      </w:r>
      <w:r w:rsidRPr="0075277D">
        <w:rPr>
          <w:rFonts w:ascii="Arial" w:eastAsia="Calibri" w:hAnsi="Arial" w:cs="Arial"/>
          <w:sz w:val="24"/>
          <w:szCs w:val="24"/>
        </w:rPr>
        <w:t xml:space="preserve"> la sentencia recurrida y, con fundamento en los artículos 207 y 208 de la Ley de Justicia Administrativa para el Estado, </w:t>
      </w:r>
      <w:r w:rsidR="00F67C1F">
        <w:rPr>
          <w:rFonts w:ascii="Arial" w:eastAsia="Calibri" w:hAnsi="Arial" w:cs="Arial"/>
          <w:sz w:val="24"/>
          <w:szCs w:val="24"/>
        </w:rPr>
        <w:t xml:space="preserve">vigente al inicio del juicio principal, </w:t>
      </w:r>
      <w:r w:rsidRPr="0075277D">
        <w:rPr>
          <w:rFonts w:ascii="Arial" w:eastAsia="Calibri" w:hAnsi="Arial" w:cs="Arial"/>
          <w:sz w:val="24"/>
          <w:szCs w:val="24"/>
        </w:rPr>
        <w:t>se:</w:t>
      </w:r>
    </w:p>
    <w:p w14:paraId="2AF21135" w14:textId="77777777" w:rsidR="00B7107F" w:rsidRPr="001720D6" w:rsidRDefault="00B7107F" w:rsidP="001720D6">
      <w:pPr>
        <w:spacing w:line="360" w:lineRule="auto"/>
        <w:ind w:left="567" w:right="333"/>
        <w:jc w:val="both"/>
        <w:rPr>
          <w:rFonts w:ascii="Arial" w:eastAsia="Calibri" w:hAnsi="Arial" w:cs="Arial"/>
          <w:bCs/>
        </w:rPr>
      </w:pPr>
    </w:p>
    <w:p w14:paraId="54319A71" w14:textId="77777777" w:rsidR="0087542B" w:rsidRDefault="0087542B" w:rsidP="0087542B">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14:paraId="02BE92B3" w14:textId="6A4A79A6" w:rsidR="0087542B" w:rsidRDefault="0075277D" w:rsidP="0075277D">
      <w:pPr>
        <w:spacing w:line="360" w:lineRule="auto"/>
        <w:jc w:val="both"/>
        <w:rPr>
          <w:rFonts w:ascii="Arial" w:hAnsi="Arial" w:cs="Arial"/>
          <w:color w:val="000000"/>
          <w:sz w:val="26"/>
          <w:szCs w:val="26"/>
        </w:rPr>
      </w:pPr>
      <w:r>
        <w:rPr>
          <w:rFonts w:ascii="Arial" w:hAnsi="Arial" w:cs="Arial"/>
          <w:b/>
          <w:sz w:val="24"/>
          <w:szCs w:val="24"/>
        </w:rPr>
        <w:t xml:space="preserve">            </w:t>
      </w:r>
      <w:r w:rsidR="0087542B">
        <w:rPr>
          <w:rFonts w:ascii="Arial" w:hAnsi="Arial" w:cs="Arial"/>
          <w:b/>
          <w:color w:val="000000"/>
          <w:sz w:val="26"/>
          <w:szCs w:val="26"/>
        </w:rPr>
        <w:t>PRIMERO</w:t>
      </w:r>
      <w:r w:rsidR="0087542B">
        <w:rPr>
          <w:rFonts w:ascii="Arial" w:hAnsi="Arial" w:cs="Arial"/>
          <w:color w:val="000000"/>
          <w:sz w:val="26"/>
          <w:szCs w:val="26"/>
        </w:rPr>
        <w:t xml:space="preserve">. Se </w:t>
      </w:r>
      <w:r w:rsidR="0087542B" w:rsidRPr="009632BE">
        <w:rPr>
          <w:rFonts w:ascii="Arial" w:eastAsia="Calibri" w:hAnsi="Arial" w:cs="Arial"/>
          <w:b/>
          <w:sz w:val="26"/>
          <w:szCs w:val="26"/>
        </w:rPr>
        <w:t>CONFIRMA</w:t>
      </w:r>
      <w:r w:rsidR="0087542B">
        <w:rPr>
          <w:rFonts w:ascii="Arial" w:hAnsi="Arial" w:cs="Arial"/>
          <w:b/>
          <w:color w:val="000000"/>
          <w:sz w:val="26"/>
          <w:szCs w:val="26"/>
        </w:rPr>
        <w:t xml:space="preserve"> </w:t>
      </w:r>
      <w:r w:rsidR="0087542B">
        <w:rPr>
          <w:rFonts w:ascii="Arial" w:hAnsi="Arial" w:cs="Arial"/>
          <w:color w:val="000000"/>
          <w:sz w:val="26"/>
          <w:szCs w:val="26"/>
        </w:rPr>
        <w:t xml:space="preserve">la </w:t>
      </w:r>
      <w:r w:rsidR="00B24E66">
        <w:rPr>
          <w:rFonts w:ascii="Arial" w:hAnsi="Arial" w:cs="Arial"/>
          <w:sz w:val="26"/>
          <w:szCs w:val="26"/>
        </w:rPr>
        <w:t>sentencia de</w:t>
      </w:r>
      <w:r>
        <w:rPr>
          <w:rFonts w:ascii="Arial" w:hAnsi="Arial" w:cs="Arial"/>
          <w:sz w:val="26"/>
          <w:szCs w:val="26"/>
        </w:rPr>
        <w:t xml:space="preserve"> 19 diecinueve de marzo de 2019 dos mil diecinueve</w:t>
      </w:r>
      <w:r w:rsidR="0087542B">
        <w:rPr>
          <w:rFonts w:ascii="Arial" w:hAnsi="Arial" w:cs="Arial"/>
          <w:color w:val="000000"/>
          <w:sz w:val="26"/>
          <w:szCs w:val="26"/>
        </w:rPr>
        <w:t xml:space="preserve">, por las razones expuestas en el Considerando que antecede. </w:t>
      </w:r>
    </w:p>
    <w:p w14:paraId="640E8C61" w14:textId="77777777" w:rsidR="0087542B" w:rsidRDefault="0087542B" w:rsidP="0087542B">
      <w:pPr>
        <w:spacing w:line="360" w:lineRule="auto"/>
        <w:ind w:firstLine="708"/>
        <w:jc w:val="both"/>
        <w:rPr>
          <w:rFonts w:ascii="Arial" w:hAnsi="Arial" w:cs="Arial"/>
          <w:color w:val="000000"/>
          <w:sz w:val="26"/>
          <w:szCs w:val="26"/>
        </w:rPr>
      </w:pPr>
    </w:p>
    <w:p w14:paraId="1D2C5DA7" w14:textId="4AF9D00A" w:rsidR="0087542B" w:rsidRDefault="0087542B" w:rsidP="0087542B">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a de la presente resolución, a la</w:t>
      </w:r>
      <w:r w:rsidR="000B5EDF">
        <w:rPr>
          <w:rFonts w:ascii="Arial" w:hAnsi="Arial" w:cs="Arial"/>
          <w:sz w:val="26"/>
          <w:szCs w:val="26"/>
        </w:rPr>
        <w:t xml:space="preserve"> </w:t>
      </w:r>
      <w:r w:rsidR="0075277D">
        <w:rPr>
          <w:rFonts w:ascii="Arial" w:hAnsi="Arial" w:cs="Arial"/>
          <w:sz w:val="26"/>
          <w:szCs w:val="26"/>
        </w:rPr>
        <w:t xml:space="preserve">Tercera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4A11962D" w14:textId="1872FEE6" w:rsidR="0087542B" w:rsidRPr="00F67C1F" w:rsidRDefault="00F67C1F" w:rsidP="00F67C1F">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14:paraId="18BCC83A" w14:textId="52DCC9B1" w:rsidR="00966ECF" w:rsidRDefault="000524A2" w:rsidP="000524A2">
      <w:pPr>
        <w:spacing w:after="20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14:paraId="1D5A1CCF" w14:textId="77777777" w:rsidR="00966ECF" w:rsidRDefault="00966ECF" w:rsidP="00966ECF">
      <w:pPr>
        <w:spacing w:line="360" w:lineRule="auto"/>
        <w:rPr>
          <w:rFonts w:ascii="Arial" w:hAnsi="Arial" w:cs="Arial"/>
          <w:sz w:val="26"/>
          <w:szCs w:val="26"/>
        </w:rPr>
      </w:pPr>
    </w:p>
    <w:p w14:paraId="0EA96A5D" w14:textId="77777777" w:rsidR="00F67C1F" w:rsidRDefault="00F67C1F" w:rsidP="00966ECF">
      <w:pPr>
        <w:spacing w:line="360" w:lineRule="auto"/>
        <w:rPr>
          <w:rFonts w:ascii="Arial" w:hAnsi="Arial" w:cs="Arial"/>
          <w:sz w:val="26"/>
          <w:szCs w:val="26"/>
        </w:rPr>
      </w:pPr>
    </w:p>
    <w:p w14:paraId="14623D17" w14:textId="77777777" w:rsidR="00F67C1F" w:rsidRDefault="00F67C1F" w:rsidP="00966ECF">
      <w:pPr>
        <w:spacing w:line="360" w:lineRule="auto"/>
        <w:rPr>
          <w:rFonts w:ascii="Arial" w:hAnsi="Arial" w:cs="Arial"/>
          <w:sz w:val="26"/>
          <w:szCs w:val="26"/>
        </w:rPr>
      </w:pPr>
    </w:p>
    <w:p w14:paraId="250FEC78" w14:textId="77777777" w:rsidR="00966ECF" w:rsidRDefault="00966ECF" w:rsidP="00966ECF">
      <w:pPr>
        <w:spacing w:line="360" w:lineRule="auto"/>
        <w:rPr>
          <w:rFonts w:ascii="Arial" w:hAnsi="Arial" w:cs="Arial"/>
          <w:sz w:val="26"/>
          <w:szCs w:val="26"/>
        </w:rPr>
      </w:pPr>
    </w:p>
    <w:p w14:paraId="6EEF8511" w14:textId="77777777" w:rsidR="00966ECF" w:rsidRDefault="00966ECF" w:rsidP="00966ECF">
      <w:pPr>
        <w:jc w:val="center"/>
        <w:rPr>
          <w:rFonts w:ascii="Arial" w:eastAsia="Calibri" w:hAnsi="Arial" w:cs="Arial"/>
          <w:sz w:val="26"/>
          <w:szCs w:val="26"/>
        </w:rPr>
      </w:pPr>
      <w:r>
        <w:rPr>
          <w:rFonts w:ascii="Arial" w:eastAsia="Calibri" w:hAnsi="Arial" w:cs="Arial"/>
          <w:sz w:val="26"/>
          <w:szCs w:val="26"/>
        </w:rPr>
        <w:t>MAGISTRADA MARÍA ELENA VILLA DE JARQUÍN</w:t>
      </w:r>
    </w:p>
    <w:p w14:paraId="75D0D655" w14:textId="77777777" w:rsidR="00966ECF" w:rsidRDefault="00966ECF" w:rsidP="00966ECF">
      <w:pPr>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67BB7024" w14:textId="77777777" w:rsidR="00966ECF" w:rsidRDefault="00966ECF" w:rsidP="00966ECF">
      <w:pPr>
        <w:pStyle w:val="Sinespaciado"/>
        <w:spacing w:line="480" w:lineRule="auto"/>
        <w:jc w:val="center"/>
        <w:rPr>
          <w:rFonts w:ascii="Arial" w:hAnsi="Arial" w:cs="Arial"/>
          <w:sz w:val="26"/>
          <w:szCs w:val="26"/>
        </w:rPr>
      </w:pPr>
    </w:p>
    <w:p w14:paraId="1CC9F942" w14:textId="77777777" w:rsidR="00966ECF" w:rsidRDefault="00966ECF" w:rsidP="00966ECF">
      <w:pPr>
        <w:spacing w:line="360" w:lineRule="auto"/>
        <w:rPr>
          <w:rFonts w:ascii="Arial" w:eastAsiaTheme="minorEastAsia" w:hAnsi="Arial" w:cs="Arial"/>
          <w:sz w:val="26"/>
          <w:szCs w:val="26"/>
          <w:lang w:eastAsia="es-MX"/>
        </w:rPr>
      </w:pPr>
    </w:p>
    <w:p w14:paraId="0B6C2D33" w14:textId="77777777" w:rsidR="00966ECF" w:rsidRDefault="00966ECF" w:rsidP="00966ECF">
      <w:pPr>
        <w:spacing w:line="360" w:lineRule="auto"/>
        <w:rPr>
          <w:rFonts w:ascii="Arial" w:eastAsiaTheme="minorEastAsia" w:hAnsi="Arial" w:cs="Arial"/>
          <w:sz w:val="26"/>
          <w:szCs w:val="26"/>
          <w:lang w:eastAsia="es-MX"/>
        </w:rPr>
      </w:pPr>
    </w:p>
    <w:p w14:paraId="500EB74C" w14:textId="77777777" w:rsidR="00966ECF" w:rsidRDefault="00966ECF" w:rsidP="00966ECF">
      <w:pPr>
        <w:spacing w:line="360" w:lineRule="auto"/>
        <w:rPr>
          <w:rFonts w:ascii="Arial" w:eastAsiaTheme="minorEastAsia" w:hAnsi="Arial" w:cs="Arial"/>
          <w:sz w:val="26"/>
          <w:szCs w:val="26"/>
          <w:lang w:eastAsia="es-MX"/>
        </w:rPr>
      </w:pPr>
    </w:p>
    <w:p w14:paraId="5F9ABA2C" w14:textId="77777777" w:rsidR="00966ECF" w:rsidRDefault="00966ECF" w:rsidP="00966ECF">
      <w:pPr>
        <w:spacing w:line="360" w:lineRule="auto"/>
        <w:rPr>
          <w:rFonts w:ascii="Arial" w:eastAsiaTheme="minorEastAsia" w:hAnsi="Arial" w:cs="Arial"/>
          <w:sz w:val="26"/>
          <w:szCs w:val="26"/>
          <w:lang w:eastAsia="es-MX"/>
        </w:rPr>
      </w:pPr>
    </w:p>
    <w:p w14:paraId="4DE50279" w14:textId="77777777" w:rsidR="00966ECF" w:rsidRDefault="00966ECF" w:rsidP="00966ECF">
      <w:pPr>
        <w:spacing w:line="360" w:lineRule="auto"/>
        <w:rPr>
          <w:rFonts w:ascii="Arial" w:eastAsiaTheme="minorEastAsia" w:hAnsi="Arial" w:cs="Arial"/>
          <w:sz w:val="26"/>
          <w:szCs w:val="26"/>
          <w:lang w:eastAsia="es-MX"/>
        </w:rPr>
      </w:pPr>
    </w:p>
    <w:p w14:paraId="659CC9A6" w14:textId="77777777" w:rsidR="00966ECF" w:rsidRDefault="00966ECF" w:rsidP="00966ECF">
      <w:pPr>
        <w:spacing w:line="360" w:lineRule="auto"/>
        <w:jc w:val="center"/>
        <w:rPr>
          <w:rFonts w:ascii="Arial" w:eastAsiaTheme="minorEastAsia" w:hAnsi="Arial" w:cs="Arial"/>
          <w:sz w:val="26"/>
          <w:szCs w:val="26"/>
          <w:lang w:eastAsia="es-MX"/>
        </w:rPr>
      </w:pPr>
      <w:r>
        <w:rPr>
          <w:rFonts w:ascii="Arial" w:eastAsiaTheme="minorEastAsia" w:hAnsi="Arial" w:cs="Arial"/>
          <w:sz w:val="26"/>
          <w:szCs w:val="26"/>
          <w:lang w:eastAsia="es-MX"/>
        </w:rPr>
        <w:t>MAGISTRADO MANUEL VELASCO ALCÁNTARA</w:t>
      </w:r>
    </w:p>
    <w:p w14:paraId="4AF0E282" w14:textId="77777777" w:rsidR="00966ECF" w:rsidRDefault="00966ECF" w:rsidP="00966ECF">
      <w:pPr>
        <w:jc w:val="center"/>
        <w:rPr>
          <w:rFonts w:ascii="Arial" w:eastAsia="Calibri" w:hAnsi="Arial" w:cs="Arial"/>
          <w:sz w:val="26"/>
          <w:szCs w:val="26"/>
        </w:rPr>
      </w:pPr>
    </w:p>
    <w:p w14:paraId="162E8313" w14:textId="77777777" w:rsidR="00966ECF" w:rsidRPr="007D6229" w:rsidRDefault="00966ECF" w:rsidP="00966ECF">
      <w:pPr>
        <w:spacing w:line="360" w:lineRule="auto"/>
        <w:jc w:val="center"/>
        <w:rPr>
          <w:rFonts w:ascii="Arial" w:eastAsiaTheme="minorEastAsia" w:hAnsi="Arial" w:cs="Arial"/>
          <w:sz w:val="26"/>
          <w:szCs w:val="26"/>
          <w:lang w:eastAsia="es-MX"/>
        </w:rPr>
      </w:pPr>
    </w:p>
    <w:p w14:paraId="6975B672" w14:textId="77777777" w:rsidR="00F67C1F" w:rsidRDefault="00F67C1F" w:rsidP="00966ECF">
      <w:pPr>
        <w:spacing w:line="360" w:lineRule="auto"/>
        <w:rPr>
          <w:rFonts w:ascii="Arial" w:eastAsia="Calibri" w:hAnsi="Arial" w:cs="Arial"/>
          <w:sz w:val="26"/>
          <w:szCs w:val="26"/>
        </w:rPr>
      </w:pPr>
    </w:p>
    <w:p w14:paraId="63DACEB5" w14:textId="77777777" w:rsidR="00F67C1F" w:rsidRPr="00BC28C0" w:rsidRDefault="00F67C1F" w:rsidP="00F67C1F">
      <w:pPr>
        <w:pStyle w:val="Sinespaciado"/>
        <w:spacing w:line="480" w:lineRule="auto"/>
        <w:jc w:val="center"/>
        <w:rPr>
          <w:rFonts w:ascii="Arial" w:hAnsi="Arial" w:cs="Arial"/>
          <w:b/>
          <w:sz w:val="14"/>
          <w:szCs w:val="26"/>
        </w:rPr>
      </w:pPr>
      <w:r w:rsidRPr="00BC28C0">
        <w:rPr>
          <w:rFonts w:ascii="Arial" w:hAnsi="Arial" w:cs="Arial"/>
          <w:b/>
          <w:sz w:val="14"/>
          <w:szCs w:val="26"/>
        </w:rPr>
        <w:lastRenderedPageBreak/>
        <w:t>LAS PRESENTES FIRMAS CORRESP</w:t>
      </w:r>
      <w:r>
        <w:rPr>
          <w:rFonts w:ascii="Arial" w:hAnsi="Arial" w:cs="Arial"/>
          <w:b/>
          <w:sz w:val="14"/>
          <w:szCs w:val="26"/>
        </w:rPr>
        <w:t>ONDEN AL RECURSO DE REVISIÓN 121/2019</w:t>
      </w:r>
    </w:p>
    <w:p w14:paraId="3E68BF07" w14:textId="77777777" w:rsidR="00966ECF" w:rsidRPr="00F67C1F" w:rsidRDefault="00966ECF" w:rsidP="00966ECF">
      <w:pPr>
        <w:spacing w:line="360" w:lineRule="auto"/>
        <w:rPr>
          <w:rFonts w:ascii="Arial" w:eastAsia="Calibri" w:hAnsi="Arial" w:cs="Arial"/>
          <w:sz w:val="26"/>
          <w:szCs w:val="26"/>
          <w:lang w:val="es-ES"/>
        </w:rPr>
      </w:pPr>
    </w:p>
    <w:p w14:paraId="53755512" w14:textId="77777777" w:rsidR="00966ECF" w:rsidRDefault="00966ECF" w:rsidP="00966ECF">
      <w:pPr>
        <w:spacing w:line="360" w:lineRule="auto"/>
        <w:rPr>
          <w:rFonts w:ascii="Arial" w:eastAsia="Calibri" w:hAnsi="Arial" w:cs="Arial"/>
          <w:sz w:val="26"/>
          <w:szCs w:val="26"/>
        </w:rPr>
      </w:pPr>
    </w:p>
    <w:p w14:paraId="574D7219" w14:textId="77777777" w:rsidR="00966ECF" w:rsidRDefault="00966ECF" w:rsidP="00966ECF">
      <w:pPr>
        <w:spacing w:line="360" w:lineRule="auto"/>
        <w:rPr>
          <w:rFonts w:ascii="Arial" w:eastAsia="Calibri" w:hAnsi="Arial" w:cs="Arial"/>
          <w:sz w:val="26"/>
          <w:szCs w:val="26"/>
        </w:rPr>
      </w:pPr>
    </w:p>
    <w:p w14:paraId="511F0BC3" w14:textId="77777777" w:rsidR="00966ECF" w:rsidRDefault="00966ECF" w:rsidP="00966ECF">
      <w:pPr>
        <w:spacing w:line="360" w:lineRule="auto"/>
        <w:jc w:val="center"/>
        <w:rPr>
          <w:rFonts w:ascii="Arial" w:eastAsia="Calibri" w:hAnsi="Arial" w:cs="Arial"/>
          <w:sz w:val="26"/>
          <w:szCs w:val="26"/>
        </w:rPr>
      </w:pPr>
    </w:p>
    <w:p w14:paraId="1526C448" w14:textId="77777777" w:rsidR="00F67C1F" w:rsidRDefault="00F67C1F" w:rsidP="00966ECF">
      <w:pPr>
        <w:spacing w:line="360" w:lineRule="auto"/>
        <w:jc w:val="center"/>
        <w:rPr>
          <w:rFonts w:ascii="Arial" w:eastAsia="Calibri" w:hAnsi="Arial" w:cs="Arial"/>
          <w:sz w:val="26"/>
          <w:szCs w:val="26"/>
        </w:rPr>
      </w:pPr>
    </w:p>
    <w:p w14:paraId="0B44CCE9" w14:textId="77777777" w:rsidR="00F67C1F" w:rsidRDefault="00F67C1F" w:rsidP="00966ECF">
      <w:pPr>
        <w:spacing w:line="360" w:lineRule="auto"/>
        <w:jc w:val="center"/>
        <w:rPr>
          <w:rFonts w:ascii="Arial" w:eastAsia="Calibri" w:hAnsi="Arial" w:cs="Arial"/>
          <w:sz w:val="26"/>
          <w:szCs w:val="26"/>
        </w:rPr>
      </w:pPr>
    </w:p>
    <w:p w14:paraId="2F131A26" w14:textId="77777777" w:rsidR="00966ECF" w:rsidRDefault="00966ECF" w:rsidP="00966ECF">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0ADEE346" w14:textId="77777777" w:rsidR="00966ECF" w:rsidRDefault="00966ECF" w:rsidP="00966ECF">
      <w:pPr>
        <w:spacing w:line="360" w:lineRule="auto"/>
        <w:jc w:val="center"/>
        <w:rPr>
          <w:rFonts w:ascii="Arial" w:eastAsiaTheme="minorEastAsia" w:hAnsi="Arial" w:cs="Arial"/>
          <w:sz w:val="26"/>
          <w:szCs w:val="26"/>
          <w:lang w:eastAsia="es-MX"/>
        </w:rPr>
      </w:pPr>
    </w:p>
    <w:p w14:paraId="23C1A223" w14:textId="77777777" w:rsidR="00966ECF" w:rsidRDefault="00966ECF" w:rsidP="00966ECF">
      <w:pPr>
        <w:spacing w:line="360" w:lineRule="auto"/>
        <w:jc w:val="center"/>
        <w:rPr>
          <w:rFonts w:ascii="Arial" w:eastAsia="Calibri" w:hAnsi="Arial" w:cs="Arial"/>
          <w:sz w:val="26"/>
          <w:szCs w:val="26"/>
        </w:rPr>
      </w:pPr>
    </w:p>
    <w:p w14:paraId="04C1D074" w14:textId="77777777" w:rsidR="00966ECF" w:rsidRDefault="00966ECF" w:rsidP="00966ECF">
      <w:pPr>
        <w:spacing w:line="360" w:lineRule="auto"/>
        <w:rPr>
          <w:rFonts w:ascii="Arial" w:eastAsiaTheme="minorEastAsia" w:hAnsi="Arial" w:cs="Arial"/>
          <w:sz w:val="26"/>
          <w:szCs w:val="26"/>
          <w:lang w:eastAsia="es-MX"/>
        </w:rPr>
      </w:pPr>
    </w:p>
    <w:p w14:paraId="6E9BF3B0" w14:textId="77777777" w:rsidR="00966ECF" w:rsidRDefault="00966ECF" w:rsidP="00966ECF">
      <w:pPr>
        <w:spacing w:line="360" w:lineRule="auto"/>
        <w:rPr>
          <w:rFonts w:ascii="Arial" w:eastAsia="Calibri" w:hAnsi="Arial" w:cs="Arial"/>
          <w:sz w:val="26"/>
          <w:szCs w:val="26"/>
        </w:rPr>
      </w:pPr>
    </w:p>
    <w:p w14:paraId="6FE0A6FD" w14:textId="77777777" w:rsidR="00966ECF" w:rsidRDefault="00966ECF" w:rsidP="00966ECF">
      <w:pPr>
        <w:spacing w:line="360" w:lineRule="auto"/>
        <w:rPr>
          <w:rFonts w:ascii="Arial" w:eastAsia="Calibri" w:hAnsi="Arial" w:cs="Arial"/>
          <w:sz w:val="26"/>
          <w:szCs w:val="26"/>
        </w:rPr>
      </w:pPr>
    </w:p>
    <w:p w14:paraId="13EF684F" w14:textId="77777777" w:rsidR="00966ECF" w:rsidRDefault="00966ECF" w:rsidP="00966ECF">
      <w:pPr>
        <w:spacing w:line="360" w:lineRule="auto"/>
        <w:rPr>
          <w:rFonts w:ascii="Arial" w:eastAsia="Calibri" w:hAnsi="Arial" w:cs="Arial"/>
          <w:sz w:val="26"/>
          <w:szCs w:val="26"/>
        </w:rPr>
      </w:pPr>
    </w:p>
    <w:p w14:paraId="628148A8" w14:textId="77777777" w:rsidR="00966ECF" w:rsidRDefault="00966ECF" w:rsidP="00966ECF">
      <w:pPr>
        <w:spacing w:line="360" w:lineRule="auto"/>
        <w:jc w:val="center"/>
        <w:rPr>
          <w:rFonts w:ascii="Arial" w:eastAsia="Calibri" w:hAnsi="Arial" w:cs="Arial"/>
          <w:sz w:val="26"/>
          <w:szCs w:val="26"/>
        </w:rPr>
      </w:pPr>
    </w:p>
    <w:p w14:paraId="14CD4A72" w14:textId="77777777" w:rsidR="00966ECF" w:rsidRDefault="00966ECF" w:rsidP="00966ECF">
      <w:pPr>
        <w:spacing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14:paraId="22ADC318" w14:textId="77777777" w:rsidR="00966ECF" w:rsidRDefault="00966ECF" w:rsidP="00966ECF">
      <w:pPr>
        <w:pStyle w:val="Sinespaciado"/>
        <w:jc w:val="center"/>
        <w:rPr>
          <w:rFonts w:ascii="Arial" w:hAnsi="Arial" w:cs="Arial"/>
          <w:sz w:val="26"/>
          <w:szCs w:val="26"/>
        </w:rPr>
      </w:pPr>
    </w:p>
    <w:p w14:paraId="7F2234B9" w14:textId="77777777" w:rsidR="00966ECF" w:rsidRDefault="00966ECF" w:rsidP="00966ECF">
      <w:pPr>
        <w:pStyle w:val="Sinespaciado"/>
        <w:jc w:val="center"/>
        <w:rPr>
          <w:rFonts w:ascii="Arial" w:hAnsi="Arial" w:cs="Arial"/>
          <w:sz w:val="26"/>
          <w:szCs w:val="26"/>
        </w:rPr>
      </w:pPr>
    </w:p>
    <w:p w14:paraId="5E4DA892" w14:textId="77777777" w:rsidR="00966ECF" w:rsidRDefault="00966ECF" w:rsidP="00966ECF">
      <w:pPr>
        <w:pStyle w:val="Sinespaciado"/>
        <w:jc w:val="center"/>
        <w:rPr>
          <w:rFonts w:ascii="Arial" w:hAnsi="Arial" w:cs="Arial"/>
          <w:sz w:val="26"/>
          <w:szCs w:val="26"/>
        </w:rPr>
      </w:pPr>
    </w:p>
    <w:p w14:paraId="6448E38C" w14:textId="77777777" w:rsidR="00966ECF" w:rsidRDefault="00966ECF" w:rsidP="00966ECF">
      <w:pPr>
        <w:pStyle w:val="Sinespaciado"/>
        <w:jc w:val="center"/>
        <w:rPr>
          <w:rFonts w:ascii="Arial" w:hAnsi="Arial" w:cs="Arial"/>
          <w:sz w:val="26"/>
          <w:szCs w:val="26"/>
        </w:rPr>
      </w:pPr>
    </w:p>
    <w:p w14:paraId="5B4E4B06" w14:textId="77777777" w:rsidR="00966ECF" w:rsidRDefault="00966ECF" w:rsidP="00966ECF">
      <w:pPr>
        <w:pStyle w:val="Sinespaciado"/>
        <w:jc w:val="center"/>
        <w:rPr>
          <w:rFonts w:ascii="Arial" w:hAnsi="Arial" w:cs="Arial"/>
          <w:sz w:val="26"/>
          <w:szCs w:val="26"/>
        </w:rPr>
      </w:pPr>
    </w:p>
    <w:p w14:paraId="65A104DC" w14:textId="77777777" w:rsidR="00966ECF" w:rsidRDefault="00966ECF" w:rsidP="00966ECF">
      <w:pPr>
        <w:pStyle w:val="Sinespaciado"/>
        <w:jc w:val="center"/>
        <w:rPr>
          <w:rFonts w:ascii="Arial" w:hAnsi="Arial" w:cs="Arial"/>
          <w:sz w:val="26"/>
          <w:szCs w:val="26"/>
        </w:rPr>
      </w:pPr>
    </w:p>
    <w:p w14:paraId="6D446A66" w14:textId="77777777" w:rsidR="00966ECF" w:rsidRDefault="00966ECF" w:rsidP="00966ECF">
      <w:pPr>
        <w:pStyle w:val="Sinespaciado"/>
        <w:jc w:val="center"/>
        <w:rPr>
          <w:rFonts w:ascii="Arial" w:hAnsi="Arial" w:cs="Arial"/>
          <w:sz w:val="26"/>
          <w:szCs w:val="26"/>
        </w:rPr>
      </w:pPr>
    </w:p>
    <w:p w14:paraId="10E27C2A" w14:textId="77777777" w:rsidR="000524A2" w:rsidRDefault="000524A2" w:rsidP="000524A2">
      <w:pPr>
        <w:jc w:val="center"/>
        <w:rPr>
          <w:rFonts w:ascii="Arial" w:hAnsi="Arial" w:cs="Arial"/>
          <w:sz w:val="26"/>
          <w:szCs w:val="26"/>
        </w:rPr>
      </w:pPr>
      <w:r>
        <w:rPr>
          <w:rFonts w:ascii="Arial" w:hAnsi="Arial" w:cs="Arial"/>
          <w:sz w:val="26"/>
          <w:szCs w:val="26"/>
        </w:rPr>
        <w:t xml:space="preserve">LICENCIADO JOSE EDUARDO LÓPEZ GARCÍA, </w:t>
      </w:r>
    </w:p>
    <w:p w14:paraId="5BC20B55" w14:textId="77777777" w:rsidR="000524A2" w:rsidRPr="00AE238D" w:rsidRDefault="000524A2" w:rsidP="000524A2">
      <w:pPr>
        <w:jc w:val="center"/>
        <w:rPr>
          <w:rFonts w:ascii="Arial" w:hAnsi="Arial" w:cs="Arial"/>
          <w:sz w:val="26"/>
          <w:szCs w:val="26"/>
        </w:rPr>
      </w:pPr>
      <w:r>
        <w:rPr>
          <w:rFonts w:ascii="Arial" w:hAnsi="Arial" w:cs="Arial"/>
          <w:sz w:val="26"/>
          <w:szCs w:val="26"/>
        </w:rPr>
        <w:t>SECRETARIO DE ACUERDOS, DESIGNADO PARA SUPLIR A  LA SECRETARIA GENERAL DE ACUERDOS.</w:t>
      </w:r>
    </w:p>
    <w:p w14:paraId="3E399EEF" w14:textId="77777777" w:rsidR="000524A2" w:rsidRDefault="000524A2" w:rsidP="000524A2">
      <w:pPr>
        <w:spacing w:line="360" w:lineRule="auto"/>
        <w:jc w:val="both"/>
        <w:rPr>
          <w:sz w:val="26"/>
          <w:szCs w:val="26"/>
        </w:rPr>
      </w:pPr>
    </w:p>
    <w:p w14:paraId="3F840382" w14:textId="77777777" w:rsidR="00966ECF" w:rsidRPr="00F962D7" w:rsidRDefault="00966ECF" w:rsidP="00966ECF"/>
    <w:p w14:paraId="46876519" w14:textId="77777777" w:rsidR="00966ECF" w:rsidRDefault="00966ECF" w:rsidP="00966ECF">
      <w:pPr>
        <w:spacing w:line="360" w:lineRule="auto"/>
        <w:jc w:val="both"/>
        <w:rPr>
          <w:sz w:val="26"/>
          <w:szCs w:val="26"/>
        </w:rPr>
      </w:pPr>
    </w:p>
    <w:p w14:paraId="533E45E0" w14:textId="77777777" w:rsidR="00966ECF" w:rsidRDefault="00966ECF" w:rsidP="00966ECF">
      <w:pPr>
        <w:spacing w:before="240" w:line="360" w:lineRule="auto"/>
        <w:ind w:firstLine="708"/>
        <w:jc w:val="both"/>
        <w:rPr>
          <w:sz w:val="26"/>
          <w:szCs w:val="26"/>
        </w:rPr>
      </w:pPr>
    </w:p>
    <w:p w14:paraId="170B7B65" w14:textId="77777777" w:rsidR="00966ECF" w:rsidRPr="008454BD" w:rsidRDefault="00966ECF" w:rsidP="00966ECF">
      <w:pPr>
        <w:spacing w:line="360" w:lineRule="auto"/>
        <w:ind w:firstLine="708"/>
        <w:jc w:val="both"/>
        <w:rPr>
          <w:rFonts w:ascii="Arial" w:hAnsi="Arial" w:cs="Arial"/>
          <w:bCs/>
          <w:sz w:val="26"/>
          <w:szCs w:val="26"/>
        </w:rPr>
      </w:pPr>
    </w:p>
    <w:p w14:paraId="2E897D14" w14:textId="77777777" w:rsidR="00966ECF" w:rsidRPr="008454BD" w:rsidRDefault="00966ECF" w:rsidP="00966ECF">
      <w:pPr>
        <w:spacing w:line="360" w:lineRule="auto"/>
        <w:ind w:firstLine="708"/>
        <w:jc w:val="both"/>
        <w:rPr>
          <w:rFonts w:ascii="Arial" w:hAnsi="Arial" w:cs="Arial"/>
          <w:bCs/>
          <w:sz w:val="26"/>
          <w:szCs w:val="26"/>
        </w:rPr>
      </w:pPr>
    </w:p>
    <w:p w14:paraId="3F177ED5" w14:textId="77777777" w:rsidR="00691BFA" w:rsidRPr="0087542B" w:rsidRDefault="00691BFA" w:rsidP="00966ECF">
      <w:pPr>
        <w:spacing w:line="360" w:lineRule="auto"/>
        <w:ind w:firstLine="708"/>
        <w:jc w:val="both"/>
      </w:pPr>
    </w:p>
    <w:sectPr w:rsidR="00691BFA" w:rsidRPr="0087542B" w:rsidSect="007D296F">
      <w:headerReference w:type="even" r:id="rId9"/>
      <w:headerReference w:type="default" r:id="rId10"/>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1A53" w14:textId="77777777" w:rsidR="00D302EE" w:rsidRDefault="00D302EE">
      <w:r>
        <w:separator/>
      </w:r>
    </w:p>
  </w:endnote>
  <w:endnote w:type="continuationSeparator" w:id="0">
    <w:p w14:paraId="49E8E18E" w14:textId="77777777" w:rsidR="00D302EE" w:rsidRDefault="00D3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1A33F" w14:textId="77777777" w:rsidR="00D302EE" w:rsidRDefault="00D302EE">
      <w:r>
        <w:separator/>
      </w:r>
    </w:p>
  </w:footnote>
  <w:footnote w:type="continuationSeparator" w:id="0">
    <w:p w14:paraId="750B47E7" w14:textId="77777777" w:rsidR="00D302EE" w:rsidRDefault="00D3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3B2C34">
          <w:rPr>
            <w:noProof/>
          </w:rPr>
          <w:t>2</w:t>
        </w:r>
        <w:r>
          <w:fldChar w:fldCharType="end"/>
        </w:r>
      </w:p>
    </w:sdtContent>
  </w:sdt>
  <w:p w14:paraId="61FAD150" w14:textId="5D5251DB" w:rsidR="00E42971" w:rsidRDefault="00D104BF">
    <w:pPr>
      <w:pStyle w:val="Encabezado"/>
    </w:pPr>
    <w:r>
      <w:rPr>
        <w:noProof/>
        <w:lang w:val="es-MX" w:eastAsia="es-MX"/>
      </w:rPr>
      <w:drawing>
        <wp:anchor distT="0" distB="0" distL="114300" distR="114300" simplePos="0" relativeHeight="251666432" behindDoc="0" locked="0" layoutInCell="1" allowOverlap="1" wp14:anchorId="62A357E2" wp14:editId="02E5F9A1">
          <wp:simplePos x="0" y="0"/>
          <wp:positionH relativeFrom="column">
            <wp:posOffset>5947459</wp:posOffset>
          </wp:positionH>
          <wp:positionV relativeFrom="paragraph">
            <wp:posOffset>5417527</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4EF6C28D" w:rsidR="00E42971" w:rsidRDefault="00E42971" w:rsidP="00D2291D">
        <w:pPr>
          <w:pStyle w:val="Encabezado"/>
          <w:jc w:val="center"/>
          <w:rPr>
            <w:noProof/>
          </w:rPr>
        </w:pPr>
        <w:r>
          <w:fldChar w:fldCharType="begin"/>
        </w:r>
        <w:r>
          <w:instrText xml:space="preserve"> PAGE   \* MERGEFORMAT </w:instrText>
        </w:r>
        <w:r>
          <w:fldChar w:fldCharType="separate"/>
        </w:r>
        <w:r w:rsidR="00934F6B">
          <w:rPr>
            <w:noProof/>
          </w:rPr>
          <w:t>1</w:t>
        </w:r>
        <w:r>
          <w:rPr>
            <w:noProof/>
          </w:rPr>
          <w:fldChar w:fldCharType="end"/>
        </w:r>
      </w:p>
      <w:p w14:paraId="015197EB" w14:textId="5ABB56EB" w:rsidR="00E42971" w:rsidRDefault="00E43D08" w:rsidP="00D2291D">
        <w:pPr>
          <w:pStyle w:val="Encabezado"/>
          <w:jc w:val="center"/>
        </w:pPr>
      </w:p>
    </w:sdtContent>
  </w:sdt>
  <w:p w14:paraId="323DD476" w14:textId="10DCE278" w:rsidR="00E42971" w:rsidRDefault="00D104BF" w:rsidP="00D2291D">
    <w:pPr>
      <w:pStyle w:val="Encabezado"/>
      <w:tabs>
        <w:tab w:val="left" w:pos="142"/>
      </w:tabs>
      <w:ind w:left="284"/>
    </w:pPr>
    <w:r>
      <w:rPr>
        <w:noProof/>
        <w:lang w:val="es-MX" w:eastAsia="es-MX"/>
      </w:rPr>
      <w:drawing>
        <wp:anchor distT="0" distB="0" distL="114300" distR="114300" simplePos="0" relativeHeight="251661312" behindDoc="0" locked="0" layoutInCell="1" allowOverlap="1" wp14:anchorId="4F0918C2" wp14:editId="1652358E">
          <wp:simplePos x="0" y="0"/>
          <wp:positionH relativeFrom="column">
            <wp:posOffset>-1281723</wp:posOffset>
          </wp:positionH>
          <wp:positionV relativeFrom="paragraph">
            <wp:posOffset>2892034</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436D1D" w:rsidRPr="003E6AD7">
      <w:rPr>
        <w:noProof/>
        <w:lang w:val="es-MX" w:eastAsia="es-MX"/>
      </w:rPr>
      <w:drawing>
        <wp:anchor distT="0" distB="0" distL="114300" distR="114300" simplePos="0" relativeHeight="251658240" behindDoc="0" locked="0" layoutInCell="1" allowOverlap="1" wp14:anchorId="6C75BE9E" wp14:editId="39749E1F">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D1D">
      <w:rPr>
        <w:noProof/>
        <w:lang w:val="es-MX" w:eastAsia="es-MX"/>
      </w:rPr>
      <w:drawing>
        <wp:anchor distT="0" distB="0" distL="114300" distR="114300" simplePos="0" relativeHeight="251653120"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DD318E"/>
    <w:multiLevelType w:val="hybridMultilevel"/>
    <w:tmpl w:val="702CC836"/>
    <w:lvl w:ilvl="0" w:tplc="EAE2854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4">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6"/>
  </w:num>
  <w:num w:numId="4">
    <w:abstractNumId w:val="12"/>
  </w:num>
  <w:num w:numId="5">
    <w:abstractNumId w:val="3"/>
  </w:num>
  <w:num w:numId="6">
    <w:abstractNumId w:val="18"/>
  </w:num>
  <w:num w:numId="7">
    <w:abstractNumId w:val="0"/>
  </w:num>
  <w:num w:numId="8">
    <w:abstractNumId w:val="14"/>
  </w:num>
  <w:num w:numId="9">
    <w:abstractNumId w:val="9"/>
  </w:num>
  <w:num w:numId="10">
    <w:abstractNumId w:val="6"/>
  </w:num>
  <w:num w:numId="11">
    <w:abstractNumId w:val="7"/>
  </w:num>
  <w:num w:numId="12">
    <w:abstractNumId w:val="10"/>
  </w:num>
  <w:num w:numId="13">
    <w:abstractNumId w:val="4"/>
  </w:num>
  <w:num w:numId="14">
    <w:abstractNumId w:val="15"/>
  </w:num>
  <w:num w:numId="15">
    <w:abstractNumId w:val="11"/>
  </w:num>
  <w:num w:numId="16">
    <w:abstractNumId w:val="2"/>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4FCF"/>
    <w:rsid w:val="00021E6D"/>
    <w:rsid w:val="00037EC5"/>
    <w:rsid w:val="00040557"/>
    <w:rsid w:val="00040812"/>
    <w:rsid w:val="00040C9F"/>
    <w:rsid w:val="00042043"/>
    <w:rsid w:val="00050BDC"/>
    <w:rsid w:val="0005133C"/>
    <w:rsid w:val="000515DF"/>
    <w:rsid w:val="000524A2"/>
    <w:rsid w:val="000533D8"/>
    <w:rsid w:val="00055136"/>
    <w:rsid w:val="00055982"/>
    <w:rsid w:val="00063AEE"/>
    <w:rsid w:val="0006676C"/>
    <w:rsid w:val="0007032E"/>
    <w:rsid w:val="0007468A"/>
    <w:rsid w:val="00081B4F"/>
    <w:rsid w:val="00092B64"/>
    <w:rsid w:val="00097E70"/>
    <w:rsid w:val="000A0212"/>
    <w:rsid w:val="000A3C35"/>
    <w:rsid w:val="000B0E36"/>
    <w:rsid w:val="000B3E39"/>
    <w:rsid w:val="000B5EDF"/>
    <w:rsid w:val="000B647C"/>
    <w:rsid w:val="000C16C8"/>
    <w:rsid w:val="000D3A15"/>
    <w:rsid w:val="000D613D"/>
    <w:rsid w:val="000E3723"/>
    <w:rsid w:val="000E4F90"/>
    <w:rsid w:val="000F3866"/>
    <w:rsid w:val="0010116F"/>
    <w:rsid w:val="00114CC5"/>
    <w:rsid w:val="0012652F"/>
    <w:rsid w:val="00132D70"/>
    <w:rsid w:val="00134084"/>
    <w:rsid w:val="001346F2"/>
    <w:rsid w:val="00147F10"/>
    <w:rsid w:val="001548AE"/>
    <w:rsid w:val="00163736"/>
    <w:rsid w:val="00164900"/>
    <w:rsid w:val="00166448"/>
    <w:rsid w:val="001720D6"/>
    <w:rsid w:val="00172528"/>
    <w:rsid w:val="001830A2"/>
    <w:rsid w:val="00185992"/>
    <w:rsid w:val="00186E02"/>
    <w:rsid w:val="00194DAA"/>
    <w:rsid w:val="00195BEA"/>
    <w:rsid w:val="001B49BA"/>
    <w:rsid w:val="001B4BF9"/>
    <w:rsid w:val="001C362A"/>
    <w:rsid w:val="001C49AF"/>
    <w:rsid w:val="001C7781"/>
    <w:rsid w:val="001D09E2"/>
    <w:rsid w:val="001D1CC8"/>
    <w:rsid w:val="001E1D05"/>
    <w:rsid w:val="001E5ED9"/>
    <w:rsid w:val="001F2610"/>
    <w:rsid w:val="001F5246"/>
    <w:rsid w:val="00201B85"/>
    <w:rsid w:val="0021190F"/>
    <w:rsid w:val="002226C7"/>
    <w:rsid w:val="00240FFF"/>
    <w:rsid w:val="00243890"/>
    <w:rsid w:val="002451B0"/>
    <w:rsid w:val="002452C9"/>
    <w:rsid w:val="00247748"/>
    <w:rsid w:val="00261F8C"/>
    <w:rsid w:val="00263F98"/>
    <w:rsid w:val="0026442C"/>
    <w:rsid w:val="00270FA6"/>
    <w:rsid w:val="00272D8A"/>
    <w:rsid w:val="00276C24"/>
    <w:rsid w:val="00276E2E"/>
    <w:rsid w:val="002813BE"/>
    <w:rsid w:val="002A0206"/>
    <w:rsid w:val="002A0B0E"/>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26E17"/>
    <w:rsid w:val="00335242"/>
    <w:rsid w:val="00341DB1"/>
    <w:rsid w:val="00353473"/>
    <w:rsid w:val="00360086"/>
    <w:rsid w:val="00376A08"/>
    <w:rsid w:val="003913BA"/>
    <w:rsid w:val="00393983"/>
    <w:rsid w:val="003B2C34"/>
    <w:rsid w:val="003C3698"/>
    <w:rsid w:val="003C4C76"/>
    <w:rsid w:val="003D0FD1"/>
    <w:rsid w:val="003D7D73"/>
    <w:rsid w:val="003E2A35"/>
    <w:rsid w:val="003E3369"/>
    <w:rsid w:val="003E6B2B"/>
    <w:rsid w:val="003E709B"/>
    <w:rsid w:val="003F21BE"/>
    <w:rsid w:val="003F4DA0"/>
    <w:rsid w:val="00404275"/>
    <w:rsid w:val="00404654"/>
    <w:rsid w:val="00405AF3"/>
    <w:rsid w:val="00405E65"/>
    <w:rsid w:val="00421F5B"/>
    <w:rsid w:val="004309A3"/>
    <w:rsid w:val="00433A5A"/>
    <w:rsid w:val="00434B8B"/>
    <w:rsid w:val="00436D1D"/>
    <w:rsid w:val="00436E56"/>
    <w:rsid w:val="00437131"/>
    <w:rsid w:val="00442F80"/>
    <w:rsid w:val="004447C8"/>
    <w:rsid w:val="004505CE"/>
    <w:rsid w:val="00452E9D"/>
    <w:rsid w:val="00453503"/>
    <w:rsid w:val="0046514D"/>
    <w:rsid w:val="00471568"/>
    <w:rsid w:val="004717D1"/>
    <w:rsid w:val="00471F7C"/>
    <w:rsid w:val="004816C1"/>
    <w:rsid w:val="00492852"/>
    <w:rsid w:val="0049627F"/>
    <w:rsid w:val="004A0D4D"/>
    <w:rsid w:val="004A5D49"/>
    <w:rsid w:val="004A650B"/>
    <w:rsid w:val="004C4BEF"/>
    <w:rsid w:val="004D05D6"/>
    <w:rsid w:val="004D2667"/>
    <w:rsid w:val="004D5DF9"/>
    <w:rsid w:val="004E2127"/>
    <w:rsid w:val="004F7FD5"/>
    <w:rsid w:val="00500A28"/>
    <w:rsid w:val="00502A34"/>
    <w:rsid w:val="00503C04"/>
    <w:rsid w:val="005046F5"/>
    <w:rsid w:val="005141BA"/>
    <w:rsid w:val="0051535E"/>
    <w:rsid w:val="00517757"/>
    <w:rsid w:val="00517C71"/>
    <w:rsid w:val="00534CB6"/>
    <w:rsid w:val="0054737A"/>
    <w:rsid w:val="00551C17"/>
    <w:rsid w:val="005619F2"/>
    <w:rsid w:val="005623BA"/>
    <w:rsid w:val="005650C9"/>
    <w:rsid w:val="00567A36"/>
    <w:rsid w:val="0057641D"/>
    <w:rsid w:val="00581B90"/>
    <w:rsid w:val="00583516"/>
    <w:rsid w:val="0058355E"/>
    <w:rsid w:val="00583F0F"/>
    <w:rsid w:val="005A019C"/>
    <w:rsid w:val="005C1E3F"/>
    <w:rsid w:val="005C3333"/>
    <w:rsid w:val="005D1C12"/>
    <w:rsid w:val="005D2834"/>
    <w:rsid w:val="005D33DB"/>
    <w:rsid w:val="005D3F5E"/>
    <w:rsid w:val="005D6A93"/>
    <w:rsid w:val="005F434C"/>
    <w:rsid w:val="005F5963"/>
    <w:rsid w:val="005F5B5A"/>
    <w:rsid w:val="0060140C"/>
    <w:rsid w:val="00603935"/>
    <w:rsid w:val="00614FAE"/>
    <w:rsid w:val="00620F0A"/>
    <w:rsid w:val="00622DDE"/>
    <w:rsid w:val="00625196"/>
    <w:rsid w:val="00634147"/>
    <w:rsid w:val="00634435"/>
    <w:rsid w:val="00636D8D"/>
    <w:rsid w:val="006373FB"/>
    <w:rsid w:val="0064024F"/>
    <w:rsid w:val="00640FB7"/>
    <w:rsid w:val="00655CCC"/>
    <w:rsid w:val="00656F1D"/>
    <w:rsid w:val="00657201"/>
    <w:rsid w:val="0066256D"/>
    <w:rsid w:val="00662969"/>
    <w:rsid w:val="00683AC4"/>
    <w:rsid w:val="00684E14"/>
    <w:rsid w:val="006850D2"/>
    <w:rsid w:val="00685403"/>
    <w:rsid w:val="00685972"/>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512C"/>
    <w:rsid w:val="0072648B"/>
    <w:rsid w:val="007317E2"/>
    <w:rsid w:val="00741273"/>
    <w:rsid w:val="00746018"/>
    <w:rsid w:val="0075277D"/>
    <w:rsid w:val="007557B3"/>
    <w:rsid w:val="00760D05"/>
    <w:rsid w:val="007702E9"/>
    <w:rsid w:val="007747E8"/>
    <w:rsid w:val="00775F1D"/>
    <w:rsid w:val="00776EDB"/>
    <w:rsid w:val="00782842"/>
    <w:rsid w:val="007836DE"/>
    <w:rsid w:val="00797735"/>
    <w:rsid w:val="00797F51"/>
    <w:rsid w:val="007A48EF"/>
    <w:rsid w:val="007B1F9C"/>
    <w:rsid w:val="007C2E95"/>
    <w:rsid w:val="007C4404"/>
    <w:rsid w:val="007C56D8"/>
    <w:rsid w:val="007C5DEF"/>
    <w:rsid w:val="007D295E"/>
    <w:rsid w:val="007D296F"/>
    <w:rsid w:val="007D7E00"/>
    <w:rsid w:val="007E10CB"/>
    <w:rsid w:val="007E33B1"/>
    <w:rsid w:val="007E675E"/>
    <w:rsid w:val="007F2469"/>
    <w:rsid w:val="007F2603"/>
    <w:rsid w:val="007F2E08"/>
    <w:rsid w:val="007F3346"/>
    <w:rsid w:val="007F7264"/>
    <w:rsid w:val="00800765"/>
    <w:rsid w:val="008020DD"/>
    <w:rsid w:val="00806D7E"/>
    <w:rsid w:val="0080735F"/>
    <w:rsid w:val="008132C5"/>
    <w:rsid w:val="008152EF"/>
    <w:rsid w:val="00816C27"/>
    <w:rsid w:val="008215C6"/>
    <w:rsid w:val="008248DE"/>
    <w:rsid w:val="0082574A"/>
    <w:rsid w:val="00825AD0"/>
    <w:rsid w:val="00840483"/>
    <w:rsid w:val="008445B8"/>
    <w:rsid w:val="0084506D"/>
    <w:rsid w:val="00845EFA"/>
    <w:rsid w:val="00851821"/>
    <w:rsid w:val="00852024"/>
    <w:rsid w:val="00865C90"/>
    <w:rsid w:val="008676AC"/>
    <w:rsid w:val="0087542B"/>
    <w:rsid w:val="008854E2"/>
    <w:rsid w:val="008861ED"/>
    <w:rsid w:val="008874EC"/>
    <w:rsid w:val="00894A24"/>
    <w:rsid w:val="008B057F"/>
    <w:rsid w:val="008B14E8"/>
    <w:rsid w:val="008B5197"/>
    <w:rsid w:val="008C0DD3"/>
    <w:rsid w:val="008C4258"/>
    <w:rsid w:val="008C6F16"/>
    <w:rsid w:val="008D6D00"/>
    <w:rsid w:val="008E1400"/>
    <w:rsid w:val="008E7491"/>
    <w:rsid w:val="008F3196"/>
    <w:rsid w:val="008F4C05"/>
    <w:rsid w:val="008F6DE1"/>
    <w:rsid w:val="0090160E"/>
    <w:rsid w:val="00903E9B"/>
    <w:rsid w:val="00906D2A"/>
    <w:rsid w:val="00920723"/>
    <w:rsid w:val="009261DC"/>
    <w:rsid w:val="00930102"/>
    <w:rsid w:val="00934F6B"/>
    <w:rsid w:val="00935483"/>
    <w:rsid w:val="00937DF3"/>
    <w:rsid w:val="0094076A"/>
    <w:rsid w:val="00944DC3"/>
    <w:rsid w:val="009474F4"/>
    <w:rsid w:val="00950C0F"/>
    <w:rsid w:val="00950C2C"/>
    <w:rsid w:val="009512E4"/>
    <w:rsid w:val="009578DB"/>
    <w:rsid w:val="00960AEA"/>
    <w:rsid w:val="009626AC"/>
    <w:rsid w:val="00962BE0"/>
    <w:rsid w:val="00966ECF"/>
    <w:rsid w:val="00970EDB"/>
    <w:rsid w:val="009715C0"/>
    <w:rsid w:val="00973936"/>
    <w:rsid w:val="00974996"/>
    <w:rsid w:val="00976446"/>
    <w:rsid w:val="00987E4B"/>
    <w:rsid w:val="00991F13"/>
    <w:rsid w:val="00997F9D"/>
    <w:rsid w:val="009A4275"/>
    <w:rsid w:val="009B1B6B"/>
    <w:rsid w:val="009C47A0"/>
    <w:rsid w:val="009D310D"/>
    <w:rsid w:val="009D5065"/>
    <w:rsid w:val="009E0382"/>
    <w:rsid w:val="009E22A6"/>
    <w:rsid w:val="009E43BE"/>
    <w:rsid w:val="009E4460"/>
    <w:rsid w:val="009E4AA5"/>
    <w:rsid w:val="009F4C00"/>
    <w:rsid w:val="00A012FC"/>
    <w:rsid w:val="00A0247D"/>
    <w:rsid w:val="00A06591"/>
    <w:rsid w:val="00A0712D"/>
    <w:rsid w:val="00A118D3"/>
    <w:rsid w:val="00A149DB"/>
    <w:rsid w:val="00A351BA"/>
    <w:rsid w:val="00A508BD"/>
    <w:rsid w:val="00A52EA5"/>
    <w:rsid w:val="00A53BF4"/>
    <w:rsid w:val="00A554F5"/>
    <w:rsid w:val="00A57406"/>
    <w:rsid w:val="00A61271"/>
    <w:rsid w:val="00A62DCB"/>
    <w:rsid w:val="00A66965"/>
    <w:rsid w:val="00A67B19"/>
    <w:rsid w:val="00A761EF"/>
    <w:rsid w:val="00A801C2"/>
    <w:rsid w:val="00A878EC"/>
    <w:rsid w:val="00A95AF0"/>
    <w:rsid w:val="00AA54BB"/>
    <w:rsid w:val="00AA7FEC"/>
    <w:rsid w:val="00AB5612"/>
    <w:rsid w:val="00AB5776"/>
    <w:rsid w:val="00AD136D"/>
    <w:rsid w:val="00AD13B8"/>
    <w:rsid w:val="00AD1C65"/>
    <w:rsid w:val="00AD4F1A"/>
    <w:rsid w:val="00AE3A0D"/>
    <w:rsid w:val="00AE6266"/>
    <w:rsid w:val="00AE6D5F"/>
    <w:rsid w:val="00AF2C6A"/>
    <w:rsid w:val="00AF3388"/>
    <w:rsid w:val="00AF4C18"/>
    <w:rsid w:val="00B03795"/>
    <w:rsid w:val="00B06703"/>
    <w:rsid w:val="00B24E66"/>
    <w:rsid w:val="00B27EA9"/>
    <w:rsid w:val="00B37EE5"/>
    <w:rsid w:val="00B43356"/>
    <w:rsid w:val="00B45896"/>
    <w:rsid w:val="00B459B6"/>
    <w:rsid w:val="00B504F0"/>
    <w:rsid w:val="00B52EF2"/>
    <w:rsid w:val="00B5683B"/>
    <w:rsid w:val="00B7107F"/>
    <w:rsid w:val="00B739C1"/>
    <w:rsid w:val="00B7510A"/>
    <w:rsid w:val="00B9012C"/>
    <w:rsid w:val="00B902CA"/>
    <w:rsid w:val="00BA3247"/>
    <w:rsid w:val="00BA48B4"/>
    <w:rsid w:val="00BA554F"/>
    <w:rsid w:val="00BC3683"/>
    <w:rsid w:val="00BD029B"/>
    <w:rsid w:val="00BD5633"/>
    <w:rsid w:val="00BE62EB"/>
    <w:rsid w:val="00BF1B8B"/>
    <w:rsid w:val="00BF5234"/>
    <w:rsid w:val="00C007E6"/>
    <w:rsid w:val="00C04E1E"/>
    <w:rsid w:val="00C12005"/>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B0B"/>
    <w:rsid w:val="00CC1E99"/>
    <w:rsid w:val="00CC4FE0"/>
    <w:rsid w:val="00CE438C"/>
    <w:rsid w:val="00CE5DE0"/>
    <w:rsid w:val="00CF55A7"/>
    <w:rsid w:val="00D05C72"/>
    <w:rsid w:val="00D104BF"/>
    <w:rsid w:val="00D10593"/>
    <w:rsid w:val="00D149B5"/>
    <w:rsid w:val="00D2291D"/>
    <w:rsid w:val="00D302EE"/>
    <w:rsid w:val="00D621AC"/>
    <w:rsid w:val="00D73FCC"/>
    <w:rsid w:val="00D755DB"/>
    <w:rsid w:val="00D80903"/>
    <w:rsid w:val="00D81032"/>
    <w:rsid w:val="00D874EF"/>
    <w:rsid w:val="00D91FC1"/>
    <w:rsid w:val="00D93191"/>
    <w:rsid w:val="00DA0278"/>
    <w:rsid w:val="00DA028D"/>
    <w:rsid w:val="00DA1814"/>
    <w:rsid w:val="00DA2871"/>
    <w:rsid w:val="00DA4508"/>
    <w:rsid w:val="00DB31F8"/>
    <w:rsid w:val="00DB6617"/>
    <w:rsid w:val="00DB6921"/>
    <w:rsid w:val="00DC30B7"/>
    <w:rsid w:val="00DD3DBF"/>
    <w:rsid w:val="00DD63D4"/>
    <w:rsid w:val="00DD6D8E"/>
    <w:rsid w:val="00DD7EA5"/>
    <w:rsid w:val="00DE2E63"/>
    <w:rsid w:val="00DE4F9D"/>
    <w:rsid w:val="00DF0F1C"/>
    <w:rsid w:val="00DF186E"/>
    <w:rsid w:val="00DF6206"/>
    <w:rsid w:val="00DF79D7"/>
    <w:rsid w:val="00E00E02"/>
    <w:rsid w:val="00E12EAB"/>
    <w:rsid w:val="00E15DC9"/>
    <w:rsid w:val="00E30131"/>
    <w:rsid w:val="00E411D2"/>
    <w:rsid w:val="00E42971"/>
    <w:rsid w:val="00E506C6"/>
    <w:rsid w:val="00E623DB"/>
    <w:rsid w:val="00E65999"/>
    <w:rsid w:val="00E7248F"/>
    <w:rsid w:val="00E7288B"/>
    <w:rsid w:val="00E76E8A"/>
    <w:rsid w:val="00E803DF"/>
    <w:rsid w:val="00E81A1F"/>
    <w:rsid w:val="00E82872"/>
    <w:rsid w:val="00E8373D"/>
    <w:rsid w:val="00EA0164"/>
    <w:rsid w:val="00EA2161"/>
    <w:rsid w:val="00EA6CCD"/>
    <w:rsid w:val="00EA6F11"/>
    <w:rsid w:val="00EA7228"/>
    <w:rsid w:val="00EB1060"/>
    <w:rsid w:val="00EC3544"/>
    <w:rsid w:val="00EC71E5"/>
    <w:rsid w:val="00ED2897"/>
    <w:rsid w:val="00ED4E6C"/>
    <w:rsid w:val="00ED5CE2"/>
    <w:rsid w:val="00ED7273"/>
    <w:rsid w:val="00EF13FF"/>
    <w:rsid w:val="00F034AB"/>
    <w:rsid w:val="00F17083"/>
    <w:rsid w:val="00F213FF"/>
    <w:rsid w:val="00F23FAE"/>
    <w:rsid w:val="00F24A0E"/>
    <w:rsid w:val="00F32F4F"/>
    <w:rsid w:val="00F411C3"/>
    <w:rsid w:val="00F43172"/>
    <w:rsid w:val="00F4362A"/>
    <w:rsid w:val="00F4657C"/>
    <w:rsid w:val="00F50AC5"/>
    <w:rsid w:val="00F514DA"/>
    <w:rsid w:val="00F53A11"/>
    <w:rsid w:val="00F53ACF"/>
    <w:rsid w:val="00F56FED"/>
    <w:rsid w:val="00F6050F"/>
    <w:rsid w:val="00F64995"/>
    <w:rsid w:val="00F67C1F"/>
    <w:rsid w:val="00F732BD"/>
    <w:rsid w:val="00F81383"/>
    <w:rsid w:val="00F84393"/>
    <w:rsid w:val="00F85095"/>
    <w:rsid w:val="00F96657"/>
    <w:rsid w:val="00FA2D3D"/>
    <w:rsid w:val="00FA6D20"/>
    <w:rsid w:val="00FB5411"/>
    <w:rsid w:val="00FB57DE"/>
    <w:rsid w:val="00FB72FB"/>
    <w:rsid w:val="00FC3747"/>
    <w:rsid w:val="00FC764A"/>
    <w:rsid w:val="00FD22B3"/>
    <w:rsid w:val="00FD2DA3"/>
    <w:rsid w:val="00FD6022"/>
    <w:rsid w:val="00FE5212"/>
    <w:rsid w:val="00FE7933"/>
    <w:rsid w:val="00FF4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13823183">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CC97562-939D-4A6C-8169-CAA88E0F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8</cp:revision>
  <cp:lastPrinted>2018-06-28T18:37:00Z</cp:lastPrinted>
  <dcterms:created xsi:type="dcterms:W3CDTF">2019-06-28T15:29:00Z</dcterms:created>
  <dcterms:modified xsi:type="dcterms:W3CDTF">2019-10-11T04:51:00Z</dcterms:modified>
</cp:coreProperties>
</file>