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TERCERA SALA UNITARIA DE PRIMERA INSTANCIA DEL TRIBUNAL DE LO CONTENCIOSO ADMINISTRATIVO Y DE CUENTAS DEL PODER JUDICIAL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0476EE">
        <w:rPr>
          <w:rFonts w:cs="Arial"/>
          <w:b/>
          <w:i/>
          <w:sz w:val="22"/>
          <w:szCs w:val="22"/>
        </w:rPr>
        <w:t>1</w:t>
      </w:r>
      <w:r w:rsidR="00EF7896">
        <w:rPr>
          <w:rFonts w:cs="Arial"/>
          <w:b/>
          <w:i/>
          <w:sz w:val="22"/>
          <w:szCs w:val="22"/>
        </w:rPr>
        <w:t>11</w:t>
      </w:r>
      <w:r w:rsidR="00D0772C" w:rsidRPr="00930A36">
        <w:rPr>
          <w:rFonts w:cs="Arial"/>
          <w:b/>
          <w:i/>
          <w:sz w:val="22"/>
          <w:szCs w:val="22"/>
        </w:rPr>
        <w:t>/201</w:t>
      </w:r>
      <w:r w:rsidR="00977577">
        <w:rPr>
          <w:rFonts w:cs="Arial"/>
          <w:b/>
          <w:i/>
          <w:sz w:val="22"/>
          <w:szCs w:val="22"/>
        </w:rPr>
        <w:t>7</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ACTOR</w:t>
      </w:r>
      <w:r w:rsidR="003058E2">
        <w:rPr>
          <w:rFonts w:cs="Arial"/>
          <w:b/>
          <w:i/>
          <w:sz w:val="22"/>
          <w:szCs w:val="22"/>
        </w:rPr>
        <w:t>A</w:t>
      </w:r>
      <w:r w:rsidRPr="00930A36">
        <w:rPr>
          <w:rFonts w:cs="Arial"/>
          <w:b/>
          <w:i/>
          <w:sz w:val="22"/>
          <w:szCs w:val="22"/>
        </w:rPr>
        <w:t xml:space="preserve">: </w:t>
      </w:r>
      <w:r w:rsidR="00D06A0E">
        <w:rPr>
          <w:rFonts w:cs="Arial"/>
          <w:sz w:val="24"/>
          <w:szCs w:val="24"/>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AC4762">
        <w:rPr>
          <w:rFonts w:ascii="Arial" w:hAnsi="Arial" w:cs="Arial"/>
          <w:b/>
          <w:sz w:val="24"/>
          <w:szCs w:val="24"/>
        </w:rPr>
        <w:t>23 VEINTITRÉS DE</w:t>
      </w:r>
      <w:r w:rsidR="000476EE">
        <w:rPr>
          <w:rFonts w:ascii="Arial" w:hAnsi="Arial" w:cs="Arial"/>
          <w:b/>
          <w:sz w:val="24"/>
          <w:szCs w:val="24"/>
        </w:rPr>
        <w:t xml:space="preserve"> ENERO DEL 2018 DOS MIL DIECIOCHO</w:t>
      </w:r>
      <w:r w:rsidR="004A41DB" w:rsidRPr="00003F0B">
        <w:rPr>
          <w:rFonts w:ascii="Arial" w:hAnsi="Arial" w:cs="Arial"/>
          <w:b/>
          <w:sz w:val="24"/>
          <w:szCs w:val="24"/>
        </w:rPr>
        <w:t>.</w:t>
      </w:r>
      <w:r>
        <w:rPr>
          <w:rFonts w:ascii="Arial" w:hAnsi="Arial" w:cs="Arial"/>
          <w:b/>
          <w:sz w:val="24"/>
          <w:szCs w:val="24"/>
        </w:rPr>
        <w:t>-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EF7896">
        <w:rPr>
          <w:rFonts w:ascii="Arial" w:hAnsi="Arial" w:cs="Arial"/>
          <w:b/>
          <w:sz w:val="24"/>
          <w:szCs w:val="24"/>
          <w:lang w:val="es-MX"/>
        </w:rPr>
        <w:t>111</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D06A0E">
        <w:rPr>
          <w:rFonts w:ascii="Arial" w:hAnsi="Arial" w:cs="Arial"/>
          <w:sz w:val="24"/>
          <w:szCs w:val="24"/>
        </w:rPr>
        <w:t>**********</w:t>
      </w:r>
      <w:r w:rsidR="000476EE">
        <w:rPr>
          <w:rFonts w:ascii="Arial" w:hAnsi="Arial" w:cs="Arial"/>
          <w:sz w:val="24"/>
          <w:szCs w:val="24"/>
          <w:lang w:val="es-MX"/>
        </w:rPr>
        <w:t xml:space="preserve">en contra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C61EB" w:rsidRDefault="007C61EB"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EF7896" w:rsidRDefault="000B6102" w:rsidP="00B8086C">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7CAEC9DB" wp14:editId="5882D363">
                <wp:simplePos x="0" y="0"/>
                <wp:positionH relativeFrom="column">
                  <wp:posOffset>-1179830</wp:posOffset>
                </wp:positionH>
                <wp:positionV relativeFrom="paragraph">
                  <wp:posOffset>2326640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0B6102" w:rsidRDefault="000B6102" w:rsidP="000B610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2.9pt;margin-top:183.2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">
                <v:textbox>
                  <w:txbxContent>
                    <w:p w:rsidR="000B6102" w:rsidRDefault="000B6102" w:rsidP="000B610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EF7896">
        <w:rPr>
          <w:rFonts w:ascii="Arial" w:hAnsi="Arial" w:cs="Arial"/>
          <w:color w:val="000000"/>
          <w:sz w:val="24"/>
          <w:szCs w:val="24"/>
        </w:rPr>
        <w:t xml:space="preserve">23 veintitrés de </w:t>
      </w:r>
      <w:r w:rsidR="0042187B">
        <w:rPr>
          <w:rFonts w:ascii="Arial" w:hAnsi="Arial" w:cs="Arial"/>
          <w:color w:val="000000"/>
          <w:sz w:val="24"/>
          <w:szCs w:val="24"/>
        </w:rPr>
        <w:t>octubre</w:t>
      </w:r>
      <w:r w:rsidR="005F0D67">
        <w:rPr>
          <w:rFonts w:ascii="Arial" w:hAnsi="Arial" w:cs="Arial"/>
          <w:color w:val="000000"/>
          <w:sz w:val="24"/>
          <w:szCs w:val="24"/>
        </w:rPr>
        <w:t xml:space="preserve"> </w:t>
      </w:r>
      <w:r w:rsidR="00D12076">
        <w:rPr>
          <w:rFonts w:ascii="Arial" w:hAnsi="Arial" w:cs="Arial"/>
          <w:color w:val="000000"/>
          <w:sz w:val="24"/>
          <w:szCs w:val="24"/>
        </w:rPr>
        <w:t>del 201</w:t>
      </w:r>
      <w:r w:rsidR="00977577">
        <w:rPr>
          <w:rFonts w:ascii="Arial" w:hAnsi="Arial" w:cs="Arial"/>
          <w:color w:val="000000"/>
          <w:sz w:val="24"/>
          <w:szCs w:val="24"/>
        </w:rPr>
        <w:t>7</w:t>
      </w:r>
      <w:r w:rsidR="00680A12">
        <w:rPr>
          <w:rFonts w:ascii="Arial" w:hAnsi="Arial" w:cs="Arial"/>
          <w:color w:val="000000"/>
          <w:sz w:val="24"/>
          <w:szCs w:val="24"/>
        </w:rPr>
        <w:t xml:space="preserve"> dos mil diecis</w:t>
      </w:r>
      <w:r w:rsidR="00977577">
        <w:rPr>
          <w:rFonts w:ascii="Arial" w:hAnsi="Arial" w:cs="Arial"/>
          <w:color w:val="000000"/>
          <w:sz w:val="24"/>
          <w:szCs w:val="24"/>
        </w:rPr>
        <w:t>iete</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D06A0E">
        <w:rPr>
          <w:rFonts w:ascii="Arial" w:hAnsi="Arial" w:cs="Arial"/>
          <w:sz w:val="24"/>
          <w:szCs w:val="24"/>
        </w:rPr>
        <w:t>**********</w:t>
      </w:r>
      <w:r w:rsidR="0042187B">
        <w:rPr>
          <w:rFonts w:ascii="Arial" w:hAnsi="Arial" w:cs="Arial"/>
          <w:color w:val="000000"/>
          <w:sz w:val="24"/>
          <w:szCs w:val="24"/>
        </w:rPr>
        <w:t xml:space="preserve">, quien </w:t>
      </w:r>
      <w:r w:rsidR="002A0256">
        <w:rPr>
          <w:rFonts w:ascii="Arial" w:hAnsi="Arial" w:cs="Arial"/>
          <w:color w:val="000000"/>
          <w:sz w:val="24"/>
          <w:szCs w:val="24"/>
        </w:rPr>
        <w:t xml:space="preserve">por su propio derecho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w:t>
      </w:r>
      <w:r w:rsidR="00EF7896">
        <w:rPr>
          <w:rFonts w:ascii="Arial" w:hAnsi="Arial" w:cs="Arial"/>
          <w:color w:val="000000"/>
          <w:sz w:val="24"/>
          <w:szCs w:val="24"/>
        </w:rPr>
        <w:t xml:space="preserve">relacionada  con la presentación de declaraciones del impuesto cedular a los ingresos por el otorgamiento del uso o goce temporal de bienes inmuebles con número de control </w:t>
      </w:r>
      <w:r w:rsidR="00347C21">
        <w:rPr>
          <w:rFonts w:ascii="Arial" w:hAnsi="Arial" w:cs="Arial"/>
          <w:sz w:val="24"/>
          <w:szCs w:val="24"/>
        </w:rPr>
        <w:t>**********</w:t>
      </w:r>
      <w:r w:rsidR="00EF7896">
        <w:rPr>
          <w:rFonts w:ascii="Arial" w:hAnsi="Arial" w:cs="Arial"/>
          <w:color w:val="000000"/>
          <w:sz w:val="24"/>
          <w:szCs w:val="24"/>
        </w:rPr>
        <w:t xml:space="preserve"> de 17 diecisiete de agosto de </w:t>
      </w:r>
      <w:r w:rsidR="000F2596">
        <w:rPr>
          <w:rFonts w:ascii="Arial" w:hAnsi="Arial" w:cs="Arial"/>
          <w:color w:val="000000"/>
          <w:sz w:val="24"/>
          <w:szCs w:val="24"/>
        </w:rPr>
        <w:t>2017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27363E">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B237AA">
        <w:rPr>
          <w:rFonts w:ascii="Arial" w:hAnsi="Arial" w:cs="Arial"/>
          <w:color w:val="000000"/>
          <w:sz w:val="24"/>
          <w:szCs w:val="24"/>
        </w:rPr>
        <w:t>.</w:t>
      </w:r>
      <w:r w:rsidR="006A03AA">
        <w:rPr>
          <w:rFonts w:ascii="Arial" w:hAnsi="Arial" w:cs="Arial"/>
          <w:color w:val="000000"/>
          <w:sz w:val="24"/>
          <w:szCs w:val="24"/>
        </w:rPr>
        <w:t xml:space="preserve"> </w:t>
      </w:r>
    </w:p>
    <w:p w:rsidR="00B237AA" w:rsidRDefault="00EF7896" w:rsidP="00B8086C">
      <w:pPr>
        <w:spacing w:line="360" w:lineRule="auto"/>
        <w:ind w:right="-518" w:firstLine="567"/>
        <w:jc w:val="both"/>
        <w:rPr>
          <w:rFonts w:ascii="Arial" w:hAnsi="Arial" w:cs="Arial"/>
          <w:color w:val="000000"/>
          <w:sz w:val="24"/>
          <w:szCs w:val="24"/>
        </w:rPr>
      </w:pPr>
      <w:r>
        <w:rPr>
          <w:rFonts w:ascii="Arial" w:hAnsi="Arial" w:cs="Arial"/>
          <w:color w:val="000000"/>
          <w:sz w:val="24"/>
          <w:szCs w:val="24"/>
        </w:rPr>
        <w:t>En el mismo acuerdo se formó cuaderno de suspensión, mismo que fue resuelto 16 dieciséis de enero del presente año. - - - - - - - - - -</w:t>
      </w:r>
      <w:r w:rsidR="006A03AA">
        <w:rPr>
          <w:rFonts w:ascii="Arial" w:hAnsi="Arial" w:cs="Arial"/>
          <w:color w:val="000000"/>
          <w:sz w:val="24"/>
          <w:szCs w:val="24"/>
        </w:rPr>
        <w:t xml:space="preserve">- - - - - - - </w:t>
      </w:r>
      <w:r w:rsidR="002A0256">
        <w:rPr>
          <w:rFonts w:ascii="Arial" w:hAnsi="Arial" w:cs="Arial"/>
          <w:color w:val="000000"/>
          <w:sz w:val="24"/>
          <w:szCs w:val="24"/>
        </w:rPr>
        <w:t xml:space="preserve">- - - - - - - - - </w:t>
      </w:r>
    </w:p>
    <w:p w:rsidR="005F0D67" w:rsidRDefault="005F0D67" w:rsidP="00B8086C">
      <w:pPr>
        <w:spacing w:line="360" w:lineRule="auto"/>
        <w:ind w:right="-518" w:firstLine="567"/>
        <w:jc w:val="both"/>
        <w:rPr>
          <w:rFonts w:ascii="Arial" w:hAnsi="Arial" w:cs="Arial"/>
          <w:color w:val="000000"/>
          <w:sz w:val="24"/>
          <w:szCs w:val="24"/>
        </w:rPr>
      </w:pPr>
    </w:p>
    <w:p w:rsidR="006D3448"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2A0256">
        <w:rPr>
          <w:rFonts w:ascii="Arial" w:hAnsi="Arial" w:cs="Arial"/>
          <w:sz w:val="24"/>
          <w:szCs w:val="24"/>
        </w:rPr>
        <w:t xml:space="preserve"> </w:t>
      </w:r>
      <w:r w:rsidR="00EF7896">
        <w:rPr>
          <w:rFonts w:ascii="Arial" w:hAnsi="Arial" w:cs="Arial"/>
          <w:sz w:val="24"/>
          <w:szCs w:val="24"/>
        </w:rPr>
        <w:t xml:space="preserve">14 </w:t>
      </w:r>
      <w:r w:rsidR="002A0256">
        <w:rPr>
          <w:rFonts w:ascii="Arial" w:hAnsi="Arial" w:cs="Arial"/>
          <w:sz w:val="24"/>
          <w:szCs w:val="24"/>
        </w:rPr>
        <w:t xml:space="preserve">catorce de diciembre </w:t>
      </w:r>
      <w:r w:rsidR="00977577">
        <w:rPr>
          <w:rFonts w:ascii="Arial" w:hAnsi="Arial" w:cs="Arial"/>
          <w:sz w:val="24"/>
          <w:szCs w:val="24"/>
        </w:rPr>
        <w:t>de 2017 dos mil diecisiete</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a de lo Contencioso de la Procuraduría Fiscal de la Secretaría de Fi</w:t>
      </w:r>
      <w:r w:rsidR="00EF7896">
        <w:rPr>
          <w:rFonts w:ascii="Arial" w:hAnsi="Arial" w:cs="Arial"/>
          <w:sz w:val="24"/>
          <w:szCs w:val="24"/>
        </w:rPr>
        <w:t>n</w:t>
      </w:r>
      <w:r w:rsidR="000F2596">
        <w:rPr>
          <w:rFonts w:ascii="Arial" w:hAnsi="Arial" w:cs="Arial"/>
          <w:sz w:val="24"/>
          <w:szCs w:val="24"/>
        </w:rPr>
        <w:t>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 y</w:t>
      </w:r>
      <w:r w:rsidR="005C0976">
        <w:rPr>
          <w:rFonts w:ascii="Arial" w:hAnsi="Arial" w:cs="Arial"/>
          <w:sz w:val="24"/>
          <w:szCs w:val="24"/>
        </w:rPr>
        <w:t xml:space="preserve"> con fundamento en los artículos </w:t>
      </w:r>
      <w:r w:rsidR="0066220A">
        <w:rPr>
          <w:rFonts w:ascii="Arial" w:hAnsi="Arial" w:cs="Arial"/>
          <w:sz w:val="24"/>
          <w:szCs w:val="24"/>
        </w:rPr>
        <w:t xml:space="preserve">120, 153 párrafo segundo, 154 fracciones I, II, III, IV, V, VI y 155 de la Ley de Justicia Administrativa para el Estado de Oaxaca, 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los efectos legales correspondientes. </w:t>
      </w:r>
      <w:r w:rsidR="0066220A">
        <w:rPr>
          <w:rFonts w:ascii="Arial" w:hAnsi="Arial" w:cs="Arial"/>
          <w:sz w:val="24"/>
          <w:szCs w:val="24"/>
        </w:rPr>
        <w:lastRenderedPageBreak/>
        <w:t>Asimismo como lo establece el artículo 157 y 174 de la citada ley, se señaló fecha y hora para la celebración de la audiencia final. - - - - - - - - - - - - - - -</w:t>
      </w:r>
      <w:r w:rsidR="000F2596">
        <w:rPr>
          <w:rFonts w:ascii="Arial" w:hAnsi="Arial" w:cs="Arial"/>
          <w:sz w:val="24"/>
          <w:szCs w:val="24"/>
        </w:rPr>
        <w:t xml:space="preserve"> </w:t>
      </w:r>
      <w:r w:rsidR="002A0256">
        <w:rPr>
          <w:rFonts w:ascii="Arial" w:hAnsi="Arial" w:cs="Arial"/>
          <w:sz w:val="24"/>
          <w:szCs w:val="24"/>
        </w:rPr>
        <w:t xml:space="preserve">- - - - - - - - - - - - </w:t>
      </w:r>
    </w:p>
    <w:p w:rsidR="006D3448" w:rsidRDefault="006D3448" w:rsidP="00AE010A">
      <w:pPr>
        <w:spacing w:line="360" w:lineRule="auto"/>
        <w:ind w:right="-518" w:firstLine="567"/>
        <w:jc w:val="both"/>
        <w:rPr>
          <w:rFonts w:ascii="Arial" w:hAnsi="Arial" w:cs="Arial"/>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0F2596">
        <w:rPr>
          <w:rFonts w:ascii="Arial" w:hAnsi="Arial" w:cs="Arial"/>
          <w:sz w:val="24"/>
          <w:szCs w:val="24"/>
          <w:lang w:val="es-MX"/>
        </w:rPr>
        <w:t>1</w:t>
      </w:r>
      <w:r w:rsidR="00EF7896">
        <w:rPr>
          <w:rFonts w:ascii="Arial" w:hAnsi="Arial" w:cs="Arial"/>
          <w:sz w:val="24"/>
          <w:szCs w:val="24"/>
          <w:lang w:val="es-MX"/>
        </w:rPr>
        <w:t>9</w:t>
      </w:r>
      <w:r w:rsidR="000F2596">
        <w:rPr>
          <w:rFonts w:ascii="Arial" w:hAnsi="Arial" w:cs="Arial"/>
          <w:sz w:val="24"/>
          <w:szCs w:val="24"/>
          <w:lang w:val="es-MX"/>
        </w:rPr>
        <w:t xml:space="preserve"> dieci</w:t>
      </w:r>
      <w:r w:rsidR="00EF7896">
        <w:rPr>
          <w:rFonts w:ascii="Arial" w:hAnsi="Arial" w:cs="Arial"/>
          <w:sz w:val="24"/>
          <w:szCs w:val="24"/>
          <w:lang w:val="es-MX"/>
        </w:rPr>
        <w:t>nueve</w:t>
      </w:r>
      <w:r w:rsidR="000F2596">
        <w:rPr>
          <w:rFonts w:ascii="Arial" w:hAnsi="Arial" w:cs="Arial"/>
          <w:sz w:val="24"/>
          <w:szCs w:val="24"/>
          <w:lang w:val="es-MX"/>
        </w:rPr>
        <w:t xml:space="preserve"> de enero de 2018 dos mil dieciocho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que ninguna de las partes exhibieron escrito al respecto</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Tercera Sala Unitaria de Primera Instancia del Tribunal de lo Contencioso Administrativo y de Cuentas, se reservó para dictar sentencia, la que ahora se pronuncia, 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 </w:t>
      </w:r>
      <w:r w:rsidR="000473F0" w:rsidRPr="006755D4">
        <w:rPr>
          <w:rFonts w:ascii="Arial" w:hAnsi="Arial" w:cs="Arial"/>
          <w:bCs/>
          <w:sz w:val="24"/>
          <w:szCs w:val="24"/>
          <w:lang w:val="es-ES"/>
        </w:rPr>
        <w:t>- - - - - - -</w:t>
      </w:r>
      <w:r w:rsidR="00136097" w:rsidRPr="006755D4">
        <w:rPr>
          <w:rFonts w:ascii="Arial" w:hAnsi="Arial" w:cs="Arial"/>
          <w:bCs/>
          <w:sz w:val="24"/>
          <w:szCs w:val="24"/>
          <w:lang w:val="es-ES"/>
        </w:rPr>
        <w:t xml:space="preserve"> - </w:t>
      </w:r>
      <w:r w:rsidR="00BA7F97">
        <w:rPr>
          <w:rFonts w:ascii="Arial" w:hAnsi="Arial" w:cs="Arial"/>
          <w:bCs/>
          <w:sz w:val="24"/>
          <w:szCs w:val="24"/>
          <w:lang w:val="es-ES"/>
        </w:rPr>
        <w:t xml:space="preserve">- - - - - - - - - - - - -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6755D4">
        <w:rPr>
          <w:rFonts w:ascii="Arial" w:hAnsi="Arial" w:cs="Arial"/>
          <w:color w:val="000000"/>
          <w:sz w:val="24"/>
          <w:szCs w:val="24"/>
        </w:rPr>
        <w:t>Esta Tercera S</w:t>
      </w:r>
      <w:r w:rsidR="006755D4" w:rsidRPr="006755D4">
        <w:rPr>
          <w:rFonts w:ascii="Arial" w:hAnsi="Arial" w:cs="Arial"/>
          <w:color w:val="000000"/>
          <w:sz w:val="24"/>
          <w:szCs w:val="24"/>
        </w:rPr>
        <w:t>ala</w:t>
      </w:r>
      <w:r w:rsidR="00977577">
        <w:rPr>
          <w:rFonts w:ascii="Arial" w:hAnsi="Arial" w:cs="Arial"/>
          <w:color w:val="000000"/>
          <w:sz w:val="24"/>
          <w:szCs w:val="24"/>
        </w:rPr>
        <w:t xml:space="preserve"> Unitaria</w:t>
      </w:r>
      <w:r w:rsidR="006755D4" w:rsidRPr="006755D4">
        <w:rPr>
          <w:rFonts w:ascii="Arial" w:hAnsi="Arial" w:cs="Arial"/>
          <w:color w:val="000000"/>
          <w:sz w:val="24"/>
          <w:szCs w:val="24"/>
        </w:rPr>
        <w:t xml:space="preserve"> de </w:t>
      </w:r>
      <w:r w:rsidR="006755D4">
        <w:rPr>
          <w:rFonts w:ascii="Arial" w:hAnsi="Arial" w:cs="Arial"/>
          <w:color w:val="000000"/>
          <w:sz w:val="24"/>
          <w:szCs w:val="24"/>
        </w:rPr>
        <w:t>P</w:t>
      </w:r>
      <w:r w:rsidR="006755D4" w:rsidRPr="006755D4">
        <w:rPr>
          <w:rFonts w:ascii="Arial" w:hAnsi="Arial" w:cs="Arial"/>
          <w:color w:val="000000"/>
          <w:sz w:val="24"/>
          <w:szCs w:val="24"/>
        </w:rPr>
        <w:t xml:space="preserve">rimera </w:t>
      </w:r>
      <w:r w:rsidR="006755D4">
        <w:rPr>
          <w:rFonts w:ascii="Arial" w:hAnsi="Arial" w:cs="Arial"/>
          <w:color w:val="000000"/>
          <w:sz w:val="24"/>
          <w:szCs w:val="24"/>
        </w:rPr>
        <w:t>I</w:t>
      </w:r>
      <w:r w:rsidR="006755D4" w:rsidRPr="006755D4">
        <w:rPr>
          <w:rFonts w:ascii="Arial" w:hAnsi="Arial" w:cs="Arial"/>
          <w:color w:val="000000"/>
          <w:sz w:val="24"/>
          <w:szCs w:val="24"/>
        </w:rPr>
        <w:t>nstancia del Tribunal de lo C</w:t>
      </w:r>
      <w:r w:rsidR="006755D4">
        <w:rPr>
          <w:rFonts w:ascii="Arial" w:hAnsi="Arial" w:cs="Arial"/>
          <w:color w:val="000000"/>
          <w:sz w:val="24"/>
          <w:szCs w:val="24"/>
        </w:rPr>
        <w:t>ontencioso Administrativo y de C</w:t>
      </w:r>
      <w:r w:rsidR="006755D4" w:rsidRPr="006755D4">
        <w:rPr>
          <w:rFonts w:ascii="Arial" w:hAnsi="Arial" w:cs="Arial"/>
          <w:color w:val="000000"/>
          <w:sz w:val="24"/>
          <w:szCs w:val="24"/>
        </w:rPr>
        <w:t xml:space="preserve">uentas del Poder Judicial del Estado, es competente para conocer y resolver del presente juicio, con fundamento en el artículo 111, apartado C, de la Constitución Política del Estado Libre y Soberano de Oaxaca; artículos 145, 146 y 149 fracción I inciso c) de la Ley Orgánica del Poder Judicial del Gobierno del Estado </w:t>
      </w:r>
      <w:r w:rsidR="006755D4" w:rsidRPr="006755D4">
        <w:rPr>
          <w:rFonts w:ascii="Arial" w:hAnsi="Arial" w:cs="Arial"/>
          <w:bCs/>
          <w:color w:val="000000"/>
          <w:sz w:val="24"/>
          <w:szCs w:val="24"/>
          <w:lang w:val="es-ES"/>
        </w:rPr>
        <w:t>y los</w:t>
      </w:r>
      <w:r w:rsidR="006755D4" w:rsidRPr="006755D4">
        <w:rPr>
          <w:rFonts w:ascii="Arial" w:hAnsi="Arial" w:cs="Arial"/>
          <w:bCs/>
          <w:color w:val="FF0000"/>
          <w:sz w:val="24"/>
          <w:szCs w:val="24"/>
          <w:lang w:val="es-ES"/>
        </w:rPr>
        <w:t xml:space="preserve"> </w:t>
      </w:r>
      <w:r w:rsidR="006755D4" w:rsidRPr="006755D4">
        <w:rPr>
          <w:rFonts w:ascii="Arial" w:hAnsi="Arial" w:cs="Arial"/>
          <w:bCs/>
          <w:color w:val="000000"/>
          <w:sz w:val="24"/>
          <w:szCs w:val="24"/>
          <w:lang w:val="es-ES"/>
        </w:rPr>
        <w:t xml:space="preserve">numerales 81, 82, 92,  96, fracción </w:t>
      </w:r>
      <w:r w:rsidR="00F66C0C">
        <w:rPr>
          <w:rFonts w:ascii="Arial" w:hAnsi="Arial" w:cs="Arial"/>
          <w:bCs/>
          <w:color w:val="000000"/>
          <w:sz w:val="24"/>
          <w:szCs w:val="24"/>
          <w:lang w:val="es-ES"/>
        </w:rPr>
        <w:t>II</w:t>
      </w:r>
      <w:r w:rsidR="006755D4" w:rsidRPr="006755D4">
        <w:rPr>
          <w:rFonts w:ascii="Arial" w:hAnsi="Arial" w:cs="Arial"/>
          <w:bCs/>
          <w:color w:val="000000"/>
          <w:sz w:val="24"/>
          <w:szCs w:val="24"/>
          <w:lang w:val="es-ES"/>
        </w:rPr>
        <w:t xml:space="preserve">, y 115 de la Ley de Justicia Administrativa para el Estado de Oaxaca, por tratarse </w:t>
      </w:r>
      <w:r w:rsidR="006755D4" w:rsidRPr="006755D4">
        <w:rPr>
          <w:rFonts w:ascii="Arial" w:hAnsi="Arial" w:cs="Arial"/>
          <w:color w:val="000000"/>
          <w:sz w:val="24"/>
          <w:szCs w:val="24"/>
        </w:rPr>
        <w:t>de un acto atribuido a autoridad</w:t>
      </w:r>
      <w:r w:rsidR="00F66C0C">
        <w:rPr>
          <w:rFonts w:ascii="Arial" w:hAnsi="Arial" w:cs="Arial"/>
          <w:sz w:val="24"/>
          <w:szCs w:val="24"/>
        </w:rPr>
        <w:t xml:space="preserve"> fiscal</w:t>
      </w:r>
      <w:r w:rsidR="006755D4" w:rsidRPr="006755D4">
        <w:rPr>
          <w:rFonts w:ascii="Arial" w:hAnsi="Arial" w:cs="Arial"/>
          <w:sz w:val="24"/>
          <w:szCs w:val="24"/>
        </w:rPr>
        <w:t xml:space="preserve"> de carácter estatal, ya que de conformidad con el último de los preceptos citados, este Tribunal tiene jurisdicción en todo el territorio del Estado</w:t>
      </w:r>
      <w:r w:rsidR="00977577">
        <w:rPr>
          <w:rFonts w:ascii="Arial" w:hAnsi="Arial" w:cs="Arial"/>
          <w:sz w:val="24"/>
          <w:szCs w:val="24"/>
        </w:rPr>
        <w:t xml:space="preserve">. </w:t>
      </w:r>
      <w:r w:rsidR="006755D4" w:rsidRPr="006755D4">
        <w:rPr>
          <w:rFonts w:ascii="Arial" w:hAnsi="Arial" w:cs="Arial"/>
          <w:sz w:val="24"/>
          <w:szCs w:val="24"/>
        </w:rPr>
        <w:t xml:space="preserve">-  - - - - - - - - - - - - - - - - - - - - - - - - - - - - - - - - - - - - - - - - - - - - - - - - - - - - </w:t>
      </w:r>
    </w:p>
    <w:p w:rsidR="002A3764" w:rsidRPr="006755D4" w:rsidRDefault="002A3764" w:rsidP="002A3764">
      <w:pPr>
        <w:spacing w:line="360" w:lineRule="auto"/>
        <w:ind w:firstLine="708"/>
        <w:jc w:val="both"/>
        <w:rPr>
          <w:rFonts w:ascii="Arial" w:hAnsi="Arial" w:cs="Arial"/>
          <w:sz w:val="24"/>
          <w:szCs w:val="24"/>
        </w:rPr>
      </w:pPr>
    </w:p>
    <w:p w:rsidR="002B7F87" w:rsidRDefault="002A3764" w:rsidP="002B7F87">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del artículo 117</w:t>
      </w:r>
      <w:r w:rsidR="00C108C5" w:rsidRPr="000C0153">
        <w:rPr>
          <w:rFonts w:ascii="Arial" w:hAnsi="Arial" w:cs="Arial"/>
          <w:sz w:val="24"/>
          <w:szCs w:val="24"/>
        </w:rPr>
        <w:t xml:space="preserve"> y 120 de la Ley de Justicia Administrativa para el Estado, </w:t>
      </w:r>
      <w:r w:rsidR="00C108C5" w:rsidRPr="000C0153">
        <w:rPr>
          <w:rFonts w:ascii="Arial" w:hAnsi="Arial" w:cs="Arial"/>
          <w:bCs/>
          <w:color w:val="000000"/>
          <w:sz w:val="24"/>
          <w:szCs w:val="24"/>
        </w:rPr>
        <w:t>ya que l</w:t>
      </w:r>
      <w:r w:rsidR="00F66C0C">
        <w:rPr>
          <w:rFonts w:ascii="Arial" w:hAnsi="Arial" w:cs="Arial"/>
          <w:bCs/>
          <w:color w:val="000000"/>
          <w:sz w:val="24"/>
          <w:szCs w:val="24"/>
        </w:rPr>
        <w:t>a</w:t>
      </w:r>
      <w:r w:rsidR="00C108C5" w:rsidRPr="000C0153">
        <w:rPr>
          <w:rFonts w:ascii="Arial" w:hAnsi="Arial" w:cs="Arial"/>
          <w:bCs/>
          <w:color w:val="000000"/>
          <w:sz w:val="24"/>
          <w:szCs w:val="24"/>
        </w:rPr>
        <w:t xml:space="preserve"> actor</w:t>
      </w:r>
      <w:r w:rsidR="00F66C0C">
        <w:rPr>
          <w:rFonts w:ascii="Arial" w:hAnsi="Arial" w:cs="Arial"/>
          <w:bCs/>
          <w:color w:val="000000"/>
          <w:sz w:val="24"/>
          <w:szCs w:val="24"/>
        </w:rPr>
        <w:t>a</w:t>
      </w:r>
      <w:r w:rsidR="00136097">
        <w:rPr>
          <w:rFonts w:ascii="Arial" w:hAnsi="Arial" w:cs="Arial"/>
          <w:bCs/>
          <w:color w:val="000000"/>
          <w:sz w:val="24"/>
          <w:szCs w:val="24"/>
        </w:rPr>
        <w:t xml:space="preserve"> </w:t>
      </w:r>
      <w:r w:rsidR="00D06A0E">
        <w:rPr>
          <w:rFonts w:ascii="Arial" w:hAnsi="Arial" w:cs="Arial"/>
          <w:sz w:val="24"/>
          <w:szCs w:val="24"/>
        </w:rPr>
        <w:t>**********</w:t>
      </w:r>
      <w:r w:rsidR="00F66C0C">
        <w:rPr>
          <w:rFonts w:ascii="Arial" w:hAnsi="Arial" w:cs="Arial"/>
          <w:bCs/>
          <w:color w:val="000000"/>
          <w:sz w:val="24"/>
          <w:szCs w:val="24"/>
        </w:rPr>
        <w:t>, promueve por su propio derecho</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F67F5B">
        <w:rPr>
          <w:rFonts w:ascii="Arial" w:hAnsi="Arial" w:cs="Arial"/>
          <w:bCs/>
          <w:color w:val="000000"/>
          <w:sz w:val="24"/>
          <w:szCs w:val="24"/>
        </w:rPr>
        <w:t>Director</w:t>
      </w:r>
      <w:r w:rsidR="00BA7F97">
        <w:rPr>
          <w:rFonts w:ascii="Arial" w:hAnsi="Arial" w:cs="Arial"/>
          <w:bCs/>
          <w:color w:val="000000"/>
          <w:sz w:val="24"/>
          <w:szCs w:val="24"/>
        </w:rPr>
        <w:t xml:space="preserve">a de lo Contencioso de la Procuraduría Fiscal de la Secretaría de Finanzas del Poder Ejecutivo del Estado de Oaxaca,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en ejercicio de sus funciones, se le concede pleno valor probatorio, conforme a lo dispuesto por el artículo 173</w:t>
      </w:r>
      <w:r w:rsidR="00C108C5">
        <w:rPr>
          <w:rFonts w:ascii="Arial" w:hAnsi="Arial" w:cs="Arial"/>
          <w:sz w:val="24"/>
          <w:szCs w:val="24"/>
        </w:rPr>
        <w:t>,</w:t>
      </w:r>
      <w:r w:rsidR="00C108C5" w:rsidRPr="000C0153">
        <w:rPr>
          <w:rFonts w:ascii="Arial" w:hAnsi="Arial" w:cs="Arial"/>
          <w:sz w:val="24"/>
          <w:szCs w:val="24"/>
        </w:rPr>
        <w:t xml:space="preserve"> fracción I de la Ley de la </w:t>
      </w:r>
      <w:r w:rsidR="00C108C5">
        <w:rPr>
          <w:rFonts w:ascii="Arial" w:hAnsi="Arial" w:cs="Arial"/>
          <w:sz w:val="24"/>
          <w:szCs w:val="24"/>
        </w:rPr>
        <w:t>m</w:t>
      </w:r>
      <w:r w:rsidR="00C108C5" w:rsidRPr="000C0153">
        <w:rPr>
          <w:rFonts w:ascii="Arial" w:hAnsi="Arial" w:cs="Arial"/>
          <w:sz w:val="24"/>
          <w:szCs w:val="24"/>
        </w:rPr>
        <w:t>ateria.</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 - - - - - - - - - </w:t>
      </w:r>
      <w:r w:rsidR="0053794B">
        <w:rPr>
          <w:rFonts w:ascii="Arial" w:hAnsi="Arial" w:cs="Arial"/>
          <w:sz w:val="24"/>
          <w:szCs w:val="24"/>
        </w:rPr>
        <w:t>- - - - - - - - - - -</w:t>
      </w:r>
      <w:r w:rsidR="004E0C3B">
        <w:rPr>
          <w:rFonts w:ascii="Arial" w:hAnsi="Arial" w:cs="Arial"/>
          <w:sz w:val="24"/>
          <w:szCs w:val="24"/>
        </w:rPr>
        <w:t xml:space="preserve"> - - - - - - - - - - - </w:t>
      </w:r>
      <w:r w:rsidR="0027363E">
        <w:rPr>
          <w:rFonts w:ascii="Arial" w:hAnsi="Arial" w:cs="Arial"/>
          <w:sz w:val="24"/>
          <w:szCs w:val="24"/>
        </w:rPr>
        <w:t xml:space="preserve">- - - - - - - </w:t>
      </w:r>
    </w:p>
    <w:p w:rsidR="00136097" w:rsidRDefault="00136097" w:rsidP="002B7F87">
      <w:pPr>
        <w:spacing w:line="360" w:lineRule="auto"/>
        <w:ind w:right="-518" w:firstLine="567"/>
        <w:jc w:val="both"/>
        <w:rPr>
          <w:rFonts w:ascii="Arial" w:hAnsi="Arial" w:cs="Arial"/>
          <w:sz w:val="24"/>
          <w:szCs w:val="24"/>
        </w:rPr>
      </w:pPr>
    </w:p>
    <w:p w:rsidR="00F729B8" w:rsidRDefault="00C108C5" w:rsidP="00F729B8">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D06A0E">
        <w:rPr>
          <w:rFonts w:cs="Arial"/>
          <w:sz w:val="24"/>
          <w:szCs w:val="24"/>
        </w:rPr>
        <w:t>**********</w:t>
      </w:r>
      <w:r w:rsidR="004F04EA" w:rsidRPr="00D7799B">
        <w:rPr>
          <w:rFonts w:cs="Arial"/>
          <w:sz w:val="24"/>
          <w:szCs w:val="24"/>
        </w:rPr>
        <w:t xml:space="preserve">, </w:t>
      </w:r>
      <w:r w:rsidR="004F04EA" w:rsidRPr="00D7799B">
        <w:rPr>
          <w:rFonts w:cs="Arial"/>
          <w:b w:val="0"/>
          <w:sz w:val="24"/>
          <w:szCs w:val="24"/>
        </w:rPr>
        <w:t>demandó la nulidad del documento en donde consta la multa por infracción establecida en el Código Fiscal para el Estado de Oaxaca, co</w:t>
      </w:r>
      <w:r w:rsidR="004F04EA">
        <w:rPr>
          <w:rFonts w:cs="Arial"/>
          <w:b w:val="0"/>
          <w:sz w:val="24"/>
          <w:szCs w:val="24"/>
        </w:rPr>
        <w:t xml:space="preserve">n número de control </w:t>
      </w:r>
      <w:r w:rsidR="00347C21">
        <w:rPr>
          <w:rFonts w:cs="Arial"/>
          <w:sz w:val="24"/>
          <w:szCs w:val="24"/>
        </w:rPr>
        <w:t>**********</w:t>
      </w:r>
      <w:r w:rsidR="004F04EA" w:rsidRPr="00D7799B">
        <w:rPr>
          <w:rFonts w:cs="Arial"/>
          <w:b w:val="0"/>
          <w:sz w:val="24"/>
          <w:szCs w:val="24"/>
        </w:rPr>
        <w:t xml:space="preserve"> de </w:t>
      </w:r>
      <w:r w:rsidR="001A620A">
        <w:rPr>
          <w:rFonts w:cs="Arial"/>
          <w:b w:val="0"/>
          <w:sz w:val="24"/>
          <w:szCs w:val="24"/>
        </w:rPr>
        <w:t>17 diecisiete</w:t>
      </w:r>
      <w:r w:rsidR="004F04EA" w:rsidRPr="00D7799B">
        <w:rPr>
          <w:rFonts w:cs="Arial"/>
          <w:b w:val="0"/>
          <w:sz w:val="24"/>
          <w:szCs w:val="24"/>
        </w:rPr>
        <w:t xml:space="preserve"> de agosto de 2017 dos mil diecisiete, emitido por la Directora de Ingresos y Recaudación de la Secretaría de Finanzas del Poder Ejecutivo del Estado de Oaxaca, al considerar que la resolución impugnada, </w:t>
      </w:r>
      <w:r w:rsidR="004A3EA8">
        <w:rPr>
          <w:rFonts w:cs="Arial"/>
          <w:b w:val="0"/>
          <w:sz w:val="24"/>
          <w:szCs w:val="24"/>
        </w:rPr>
        <w:t>no está d</w:t>
      </w:r>
      <w:r w:rsidR="00F729B8">
        <w:rPr>
          <w:rFonts w:cs="Arial"/>
          <w:b w:val="0"/>
          <w:sz w:val="24"/>
          <w:szCs w:val="24"/>
        </w:rPr>
        <w:t>ebidamente fundada ni motivada.</w:t>
      </w:r>
    </w:p>
    <w:p w:rsidR="00F729B8" w:rsidRDefault="00F729B8" w:rsidP="00F729B8">
      <w:pPr>
        <w:pStyle w:val="corte3centro"/>
        <w:ind w:right="-518" w:firstLine="567"/>
        <w:jc w:val="both"/>
        <w:rPr>
          <w:rFonts w:cs="Arial"/>
          <w:b w:val="0"/>
          <w:sz w:val="24"/>
          <w:szCs w:val="24"/>
        </w:rPr>
      </w:pPr>
    </w:p>
    <w:p w:rsidR="004F04EA" w:rsidRPr="00641A6B" w:rsidRDefault="004F04EA" w:rsidP="00F729B8">
      <w:pPr>
        <w:pStyle w:val="corte3centro"/>
        <w:ind w:right="-518" w:firstLine="567"/>
        <w:jc w:val="both"/>
        <w:rPr>
          <w:rFonts w:cs="Arial"/>
          <w:b w:val="0"/>
          <w:bCs/>
          <w:sz w:val="24"/>
          <w:szCs w:val="24"/>
        </w:rPr>
      </w:pPr>
      <w:r w:rsidRPr="00F729B8">
        <w:rPr>
          <w:rFonts w:cs="Arial"/>
          <w:b w:val="0"/>
          <w:bCs/>
          <w:sz w:val="24"/>
          <w:szCs w:val="24"/>
          <w:lang w:val="es-ES"/>
        </w:rPr>
        <w:lastRenderedPageBreak/>
        <w:t>Por su parte, la Directora de lo Contencioso de la Secretaría de Finanzas</w:t>
      </w:r>
      <w:r>
        <w:rPr>
          <w:rFonts w:cs="Arial"/>
          <w:b w:val="0"/>
          <w:bCs/>
          <w:sz w:val="24"/>
          <w:szCs w:val="24"/>
          <w:lang w:val="es-ES"/>
        </w:rPr>
        <w:t xml:space="preserve"> del Poder Ejecutivo del Estado, en representación jurídica de la Directora de Ingresos y Recaudación de la citada secretaría, en su contestación de demanda, manifestó que sí motivó la </w:t>
      </w:r>
      <w:r w:rsidRPr="00383F66">
        <w:rPr>
          <w:rFonts w:cs="Arial"/>
          <w:b w:val="0"/>
          <w:bCs/>
          <w:sz w:val="24"/>
          <w:szCs w:val="24"/>
          <w:lang w:val="es-ES"/>
        </w:rPr>
        <w:t xml:space="preserve">imposición de la multa establecida en el Código Fiscal para el Estado de Oaxaca, </w:t>
      </w:r>
      <w:r w:rsidR="00B032AD">
        <w:rPr>
          <w:rFonts w:cs="Arial"/>
          <w:b w:val="0"/>
          <w:bCs/>
          <w:sz w:val="24"/>
          <w:szCs w:val="24"/>
          <w:lang w:val="es-ES"/>
        </w:rPr>
        <w:t>en virtud de que el actor soslayó cumplir con la obligación de presentar sus declaraciones bimestrales, a las cuales se obliga conforme a lo establecen los numerales 22, 23, 26, 27 y 28 de la Ley de Hacienda, virtud de que el actor no cumplió con la obligación de inscribirse al Registro Estatal de Contribuyentes.</w:t>
      </w:r>
      <w:r w:rsidRPr="00641A6B">
        <w:rPr>
          <w:rFonts w:cs="Arial"/>
          <w:b w:val="0"/>
          <w:bCs/>
          <w:sz w:val="24"/>
          <w:szCs w:val="24"/>
          <w:lang w:val="es-ES"/>
        </w:rPr>
        <w:t xml:space="preserve"> </w:t>
      </w:r>
    </w:p>
    <w:p w:rsidR="004F04EA" w:rsidRPr="00641A6B" w:rsidRDefault="004F04EA" w:rsidP="004F04EA">
      <w:pPr>
        <w:pStyle w:val="corte3centro"/>
        <w:ind w:right="-1083" w:firstLine="567"/>
        <w:jc w:val="both"/>
        <w:rPr>
          <w:rFonts w:cs="Arial"/>
          <w:sz w:val="24"/>
          <w:szCs w:val="24"/>
        </w:rPr>
      </w:pPr>
    </w:p>
    <w:p w:rsidR="004F04EA" w:rsidRPr="009C66B4" w:rsidRDefault="004F04EA" w:rsidP="004F04EA">
      <w:pPr>
        <w:pStyle w:val="corte3centro"/>
        <w:ind w:right="-518" w:firstLine="567"/>
        <w:jc w:val="both"/>
        <w:rPr>
          <w:rFonts w:cs="Arial"/>
          <w:b w:val="0"/>
          <w:sz w:val="24"/>
          <w:szCs w:val="24"/>
        </w:rPr>
      </w:pPr>
      <w:r>
        <w:rPr>
          <w:rFonts w:cs="Arial"/>
          <w:b w:val="0"/>
          <w:sz w:val="24"/>
          <w:szCs w:val="24"/>
        </w:rPr>
        <w:t xml:space="preserve">Ahora bien, del análisis de la multa por infracción establecida en el Código Fiscal para el Estado de Oaxaca, con número de control </w:t>
      </w:r>
      <w:r w:rsidR="00347C21">
        <w:rPr>
          <w:rFonts w:cs="Arial"/>
          <w:sz w:val="24"/>
          <w:szCs w:val="24"/>
        </w:rPr>
        <w:t>**********</w:t>
      </w:r>
      <w:r w:rsidR="00641A6B">
        <w:rPr>
          <w:rFonts w:cs="Arial"/>
          <w:b w:val="0"/>
          <w:sz w:val="24"/>
          <w:szCs w:val="24"/>
        </w:rPr>
        <w:t xml:space="preserve"> de 17 diecisiete </w:t>
      </w:r>
      <w:r>
        <w:rPr>
          <w:rFonts w:cs="Arial"/>
          <w:b w:val="0"/>
          <w:sz w:val="24"/>
          <w:szCs w:val="24"/>
        </w:rPr>
        <w:t>de agosto de 2017 dos mil diecisiete (foja 9</w:t>
      </w:r>
      <w:r w:rsidRPr="009C66B4">
        <w:rPr>
          <w:rFonts w:cs="Arial"/>
          <w:b w:val="0"/>
          <w:sz w:val="24"/>
          <w:szCs w:val="24"/>
        </w:rPr>
        <w:t xml:space="preserve">), </w:t>
      </w:r>
      <w:r>
        <w:rPr>
          <w:rFonts w:cs="Arial"/>
          <w:b w:val="0"/>
          <w:sz w:val="24"/>
          <w:szCs w:val="24"/>
        </w:rPr>
        <w:t xml:space="preserve">documental, a la que se le confiere pleno valor probatorio, en términos de la fracción I del artículo 173 de la Ley de la Materia, por haber sido confeccionado por servidor público en ejercicio de sus funciones, </w:t>
      </w:r>
      <w:r w:rsidRPr="009C66B4">
        <w:rPr>
          <w:rFonts w:cs="Arial"/>
          <w:b w:val="0"/>
          <w:sz w:val="24"/>
          <w:szCs w:val="24"/>
        </w:rPr>
        <w:t>se advierte que la autoridad demandada en la parte que interesa textualmente señala:</w:t>
      </w:r>
    </w:p>
    <w:p w:rsidR="004F04EA" w:rsidRPr="009C66B4" w:rsidRDefault="004F04EA" w:rsidP="004F04EA">
      <w:pPr>
        <w:pStyle w:val="corte3centro"/>
        <w:ind w:right="-518" w:firstLine="567"/>
        <w:jc w:val="both"/>
        <w:rPr>
          <w:rFonts w:cs="Arial"/>
          <w:b w:val="0"/>
          <w:sz w:val="24"/>
          <w:szCs w:val="24"/>
        </w:rPr>
      </w:pPr>
    </w:p>
    <w:p w:rsidR="0073521D" w:rsidRPr="00E92704" w:rsidRDefault="004F04EA" w:rsidP="0073521D">
      <w:pPr>
        <w:pStyle w:val="corte3centro"/>
        <w:spacing w:line="276" w:lineRule="auto"/>
        <w:ind w:left="567" w:right="-518"/>
        <w:jc w:val="both"/>
        <w:rPr>
          <w:rFonts w:cs="Arial"/>
          <w:b w:val="0"/>
          <w:i/>
          <w:sz w:val="23"/>
          <w:szCs w:val="23"/>
        </w:rPr>
      </w:pPr>
      <w:r w:rsidRPr="005B118C">
        <w:rPr>
          <w:rFonts w:cs="Arial"/>
          <w:b w:val="0"/>
          <w:i/>
          <w:sz w:val="24"/>
          <w:szCs w:val="24"/>
        </w:rPr>
        <w:t>“</w:t>
      </w:r>
      <w:r w:rsidR="0073521D" w:rsidRPr="00E92704">
        <w:rPr>
          <w:rFonts w:cs="Arial"/>
          <w:b w:val="0"/>
          <w:i/>
          <w:sz w:val="23"/>
          <w:szCs w:val="23"/>
        </w:rPr>
        <w:t xml:space="preserve">“Que en los artículos 61 párrafos primero y tercero del Código Fiscal para el Estado de Oaxaca, 53, 55 fracción I, II y III, 56 fracción III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se expidan para tal efecto, mismas que deben realizarse dentro de los primeros 17 días del mes siguiente al periodo que se está declarando. </w:t>
      </w:r>
    </w:p>
    <w:p w:rsidR="0073521D" w:rsidRPr="00E92704" w:rsidRDefault="000B6102" w:rsidP="0073521D">
      <w:pPr>
        <w:pStyle w:val="corte3centro"/>
        <w:spacing w:line="276" w:lineRule="auto"/>
        <w:ind w:left="567" w:right="-518"/>
        <w:jc w:val="both"/>
        <w:rPr>
          <w:rFonts w:cs="Arial"/>
          <w:b w:val="0"/>
          <w:i/>
          <w:sz w:val="23"/>
          <w:szCs w:val="23"/>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01D5E4EE" wp14:editId="05BC2787">
                <wp:simplePos x="0" y="0"/>
                <wp:positionH relativeFrom="column">
                  <wp:posOffset>-1227455</wp:posOffset>
                </wp:positionH>
                <wp:positionV relativeFrom="paragraph">
                  <wp:posOffset>1298575</wp:posOffset>
                </wp:positionV>
                <wp:extent cx="1038225" cy="86677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0B6102" w:rsidRDefault="000B6102" w:rsidP="000B610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96.65pt;margin-top:102.2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">
                <v:textbox>
                  <w:txbxContent>
                    <w:p w:rsidR="000B6102" w:rsidRDefault="000B6102" w:rsidP="000B610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73521D" w:rsidRPr="00E92704">
        <w:rPr>
          <w:rFonts w:cs="Arial"/>
          <w:b w:val="0"/>
          <w:i/>
          <w:sz w:val="23"/>
          <w:szCs w:val="23"/>
        </w:rPr>
        <w:t>Atendiendo a lo anterior se realizó una revisión minuciosa en el Registro Estatal de Contribuyentes con que cuenta esta Secretaría; la cual contiene los registros contables en materia de declaraciones y pagos; y en ejercicio de las facultades de revisión el cumplimiento de las declaraciones y pagos por los sujetos obligados en materia del impuesto Cedular a los Ingresos por el otorgamiento del Uso o Goce Temporal de Bienes Inmuebles, se le ha identificado como sujeto obligado en materia del impuesto de referencia y que ha incurrido en el incumplimiento de su(s) obligación(es), toda vez que ha transcurrido en exceso el plazo a que se refiere el artículo 27 de la Ley Estatal de Hacienda vigente para la presentación de la(s) declaración(es) bimestrales(es) definitiva(s) y enterar el Impuesto que nos ocupa, conforme a lo siguiente:</w:t>
      </w:r>
    </w:p>
    <w:p w:rsidR="0073521D" w:rsidRPr="00E92704" w:rsidRDefault="0073521D" w:rsidP="0073521D">
      <w:pPr>
        <w:pStyle w:val="corte3centro"/>
        <w:spacing w:line="276" w:lineRule="auto"/>
        <w:ind w:right="-518" w:firstLine="567"/>
        <w:jc w:val="both"/>
        <w:rPr>
          <w:rFonts w:cs="Arial"/>
          <w:b w:val="0"/>
          <w:i/>
          <w:sz w:val="23"/>
          <w:szCs w:val="23"/>
        </w:rPr>
      </w:pPr>
      <w:r w:rsidRPr="00E92704">
        <w:rPr>
          <w:rFonts w:cs="Arial"/>
          <w:b w:val="0"/>
          <w:i/>
          <w:sz w:val="23"/>
          <w:szCs w:val="23"/>
        </w:rPr>
        <w:t>…</w:t>
      </w:r>
    </w:p>
    <w:p w:rsidR="0073521D" w:rsidRPr="00E92704" w:rsidRDefault="00B032AD" w:rsidP="0073521D">
      <w:pPr>
        <w:pStyle w:val="corte3centro"/>
        <w:ind w:left="567" w:right="-518"/>
        <w:jc w:val="both"/>
        <w:rPr>
          <w:rFonts w:cs="Arial"/>
          <w:b w:val="0"/>
          <w:i/>
          <w:sz w:val="23"/>
          <w:szCs w:val="23"/>
        </w:rPr>
      </w:pPr>
      <w:r>
        <w:rPr>
          <w:rFonts w:cs="Arial"/>
          <w:b w:val="0"/>
          <w:i/>
          <w:sz w:val="23"/>
          <w:szCs w:val="23"/>
        </w:rPr>
        <w:t>Considerando que con fecha 16 dieciséis de Marzo</w:t>
      </w:r>
      <w:r w:rsidR="0073521D" w:rsidRPr="00E92704">
        <w:rPr>
          <w:rFonts w:cs="Arial"/>
          <w:b w:val="0"/>
          <w:i/>
          <w:sz w:val="23"/>
          <w:szCs w:val="23"/>
        </w:rPr>
        <w:t xml:space="preserve"> </w:t>
      </w:r>
      <w:r w:rsidR="0073521D">
        <w:rPr>
          <w:rFonts w:cs="Arial"/>
          <w:b w:val="0"/>
          <w:i/>
          <w:sz w:val="23"/>
          <w:szCs w:val="23"/>
        </w:rPr>
        <w:t>de 200</w:t>
      </w:r>
      <w:r>
        <w:rPr>
          <w:rFonts w:cs="Arial"/>
          <w:b w:val="0"/>
          <w:i/>
          <w:sz w:val="23"/>
          <w:szCs w:val="23"/>
        </w:rPr>
        <w:t>6</w:t>
      </w:r>
      <w:r w:rsidR="0073521D" w:rsidRPr="00E92704">
        <w:rPr>
          <w:rFonts w:cs="Arial"/>
          <w:b w:val="0"/>
          <w:i/>
          <w:sz w:val="23"/>
          <w:szCs w:val="23"/>
        </w:rPr>
        <w:t xml:space="preserve">, usted presentó ante la Delegación o Subdelegación Fiscal correspondiente a su domicilio fiscal, formulario múltiple de Registro Estatal de Contribuyente, a fin de quedar inscrito(a), con la obligación del impuesto Cedular a los ingresos por el Otorgamiento del uso o Goce Temporal de Bienes Inmuebles; y a la fecha esta Secretaría no cuenta con documentales que acrediten el cumplimiento de la (s) obligación (es)por el(los) período(s)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w:t>
      </w:r>
      <w:r w:rsidR="0073521D" w:rsidRPr="00E92704">
        <w:rPr>
          <w:rFonts w:cs="Arial"/>
          <w:b w:val="0"/>
          <w:i/>
          <w:sz w:val="23"/>
          <w:szCs w:val="23"/>
        </w:rPr>
        <w:lastRenderedPageBreak/>
        <w:t>monto mínimo el cual es equivalente a cincuenta veces el Valor de la Unidad de Medida y Actualización, publicada en el Diario Oficial de la Federación, vigente a partir de 1 de febrero de 2017, por considerar que no existen agravantes ni antecedentes del contribuyente, en consecuencia se le impone la multa citada en los términos siguientes:</w:t>
      </w:r>
    </w:p>
    <w:p w:rsidR="0073521D" w:rsidRPr="00E15A76" w:rsidRDefault="0073521D" w:rsidP="0073521D">
      <w:pPr>
        <w:pStyle w:val="corte3centro"/>
        <w:ind w:right="-518" w:firstLine="567"/>
        <w:jc w:val="both"/>
        <w:rPr>
          <w:rFonts w:cs="Arial"/>
          <w:i/>
          <w:sz w:val="24"/>
          <w:szCs w:val="24"/>
        </w:rPr>
      </w:pPr>
    </w:p>
    <w:tbl>
      <w:tblPr>
        <w:tblStyle w:val="Tablaconcuadrcula"/>
        <w:tblW w:w="0" w:type="auto"/>
        <w:tblLook w:val="04A0" w:firstRow="1" w:lastRow="0" w:firstColumn="1" w:lastColumn="0" w:noHBand="0" w:noVBand="1"/>
      </w:tblPr>
      <w:tblGrid>
        <w:gridCol w:w="2660"/>
        <w:gridCol w:w="3118"/>
        <w:gridCol w:w="1276"/>
        <w:gridCol w:w="1716"/>
      </w:tblGrid>
      <w:tr w:rsidR="0073521D" w:rsidRPr="00E15A76" w:rsidTr="00EF3B5B">
        <w:tc>
          <w:tcPr>
            <w:tcW w:w="2660" w:type="dxa"/>
          </w:tcPr>
          <w:p w:rsidR="0073521D" w:rsidRPr="00E15A76" w:rsidRDefault="0073521D" w:rsidP="00EF3B5B">
            <w:pPr>
              <w:pStyle w:val="corte3centro"/>
              <w:tabs>
                <w:tab w:val="left" w:pos="4578"/>
              </w:tabs>
              <w:ind w:right="-518"/>
              <w:rPr>
                <w:rFonts w:cs="Arial"/>
                <w:i/>
                <w:sz w:val="16"/>
                <w:szCs w:val="16"/>
              </w:rPr>
            </w:pPr>
            <w:r w:rsidRPr="00E15A76">
              <w:rPr>
                <w:rFonts w:cs="Arial"/>
                <w:i/>
                <w:sz w:val="16"/>
                <w:szCs w:val="16"/>
              </w:rPr>
              <w:t>INFRACCIÓN</w:t>
            </w:r>
          </w:p>
        </w:tc>
        <w:tc>
          <w:tcPr>
            <w:tcW w:w="3118" w:type="dxa"/>
          </w:tcPr>
          <w:p w:rsidR="0073521D" w:rsidRPr="00E15A76" w:rsidRDefault="0073521D" w:rsidP="00EF3B5B">
            <w:pPr>
              <w:pStyle w:val="corte3centro"/>
              <w:tabs>
                <w:tab w:val="left" w:pos="4578"/>
              </w:tabs>
              <w:ind w:right="-518"/>
              <w:rPr>
                <w:rFonts w:cs="Arial"/>
                <w:i/>
                <w:sz w:val="16"/>
                <w:szCs w:val="16"/>
              </w:rPr>
            </w:pPr>
            <w:r w:rsidRPr="00E15A76">
              <w:rPr>
                <w:rFonts w:cs="Arial"/>
                <w:i/>
                <w:sz w:val="16"/>
                <w:szCs w:val="16"/>
              </w:rPr>
              <w:t>SANCIÓN</w:t>
            </w:r>
          </w:p>
        </w:tc>
        <w:tc>
          <w:tcPr>
            <w:tcW w:w="1276" w:type="dxa"/>
          </w:tcPr>
          <w:p w:rsidR="0073521D" w:rsidRPr="00E15A76" w:rsidRDefault="0073521D" w:rsidP="00EF3B5B">
            <w:pPr>
              <w:pStyle w:val="corte3centro"/>
              <w:tabs>
                <w:tab w:val="left" w:pos="4578"/>
              </w:tabs>
              <w:ind w:right="-518"/>
              <w:jc w:val="both"/>
              <w:rPr>
                <w:rFonts w:cs="Arial"/>
                <w:i/>
                <w:sz w:val="16"/>
                <w:szCs w:val="16"/>
              </w:rPr>
            </w:pPr>
            <w:r w:rsidRPr="00E15A76">
              <w:rPr>
                <w:rFonts w:cs="Arial"/>
                <w:i/>
                <w:sz w:val="16"/>
                <w:szCs w:val="16"/>
              </w:rPr>
              <w:t>UMA VIGENTE</w:t>
            </w:r>
          </w:p>
        </w:tc>
        <w:tc>
          <w:tcPr>
            <w:tcW w:w="1716" w:type="dxa"/>
          </w:tcPr>
          <w:p w:rsidR="0073521D" w:rsidRPr="00E15A76" w:rsidRDefault="0073521D" w:rsidP="00EF3B5B">
            <w:pPr>
              <w:pStyle w:val="corte3centro"/>
              <w:tabs>
                <w:tab w:val="left" w:pos="4578"/>
              </w:tabs>
              <w:ind w:right="-518"/>
              <w:jc w:val="both"/>
              <w:rPr>
                <w:rFonts w:cs="Arial"/>
                <w:i/>
                <w:sz w:val="16"/>
                <w:szCs w:val="16"/>
              </w:rPr>
            </w:pPr>
            <w:r w:rsidRPr="00E15A76">
              <w:rPr>
                <w:rFonts w:cs="Arial"/>
                <w:i/>
                <w:sz w:val="16"/>
                <w:szCs w:val="16"/>
              </w:rPr>
              <w:t>MULTA A PAGAR</w:t>
            </w:r>
          </w:p>
        </w:tc>
      </w:tr>
      <w:tr w:rsidR="0073521D" w:rsidRPr="004B335E" w:rsidTr="00EF3B5B">
        <w:tc>
          <w:tcPr>
            <w:tcW w:w="2660" w:type="dxa"/>
            <w:vAlign w:val="bottom"/>
          </w:tcPr>
          <w:p w:rsidR="0073521D" w:rsidRPr="004B335E" w:rsidRDefault="0073521D" w:rsidP="00EF3B5B">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w:t>
            </w:r>
          </w:p>
          <w:p w:rsidR="0073521D" w:rsidRPr="004B335E" w:rsidRDefault="0073521D" w:rsidP="00EF3B5B">
            <w:pPr>
              <w:pStyle w:val="corte3centro"/>
              <w:tabs>
                <w:tab w:val="left" w:pos="4578"/>
              </w:tabs>
              <w:ind w:right="-518"/>
              <w:jc w:val="left"/>
              <w:rPr>
                <w:rFonts w:cs="Arial"/>
                <w:b w:val="0"/>
                <w:i/>
                <w:sz w:val="16"/>
                <w:szCs w:val="16"/>
              </w:rPr>
            </w:pPr>
            <w:r w:rsidRPr="004B335E">
              <w:rPr>
                <w:rFonts w:cs="Arial"/>
                <w:b w:val="0"/>
                <w:i/>
                <w:sz w:val="16"/>
                <w:szCs w:val="16"/>
              </w:rPr>
              <w:t>Fiscal para el Estado de Oaxaca</w:t>
            </w:r>
          </w:p>
          <w:p w:rsidR="0073521D" w:rsidRPr="004B335E" w:rsidRDefault="0073521D" w:rsidP="00EF3B5B">
            <w:pPr>
              <w:pStyle w:val="corte3centro"/>
              <w:tabs>
                <w:tab w:val="left" w:pos="4578"/>
              </w:tabs>
              <w:ind w:right="-518"/>
              <w:jc w:val="left"/>
              <w:rPr>
                <w:rFonts w:cs="Arial"/>
                <w:b w:val="0"/>
                <w:i/>
                <w:sz w:val="16"/>
                <w:szCs w:val="16"/>
              </w:rPr>
            </w:pPr>
            <w:r w:rsidRPr="004B335E">
              <w:rPr>
                <w:rFonts w:cs="Arial"/>
                <w:b w:val="0"/>
                <w:i/>
                <w:sz w:val="16"/>
                <w:szCs w:val="16"/>
              </w:rPr>
              <w:t xml:space="preserve">           vigente</w:t>
            </w:r>
          </w:p>
        </w:tc>
        <w:tc>
          <w:tcPr>
            <w:tcW w:w="3118" w:type="dxa"/>
            <w:vAlign w:val="bottom"/>
          </w:tcPr>
          <w:p w:rsidR="0073521D" w:rsidRPr="004B335E" w:rsidRDefault="0073521D" w:rsidP="00EF3B5B">
            <w:pPr>
              <w:pStyle w:val="corte3centro"/>
              <w:tabs>
                <w:tab w:val="left" w:pos="4578"/>
              </w:tabs>
              <w:ind w:right="-518"/>
              <w:jc w:val="left"/>
              <w:rPr>
                <w:rFonts w:cs="Arial"/>
                <w:b w:val="0"/>
                <w:i/>
                <w:sz w:val="16"/>
                <w:szCs w:val="16"/>
              </w:rPr>
            </w:pPr>
            <w:r w:rsidRPr="004B335E">
              <w:rPr>
                <w:rFonts w:cs="Arial"/>
                <w:b w:val="0"/>
                <w:i/>
                <w:sz w:val="16"/>
                <w:szCs w:val="16"/>
              </w:rPr>
              <w:t xml:space="preserve">                         50 UMA</w:t>
            </w:r>
          </w:p>
          <w:p w:rsidR="0073521D" w:rsidRPr="004B335E" w:rsidRDefault="0073521D" w:rsidP="00EF3B5B">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 Fiscal</w:t>
            </w:r>
          </w:p>
          <w:p w:rsidR="0073521D" w:rsidRPr="004B335E" w:rsidRDefault="0073521D" w:rsidP="00EF3B5B">
            <w:pPr>
              <w:pStyle w:val="corte3centro"/>
              <w:tabs>
                <w:tab w:val="left" w:pos="4578"/>
              </w:tabs>
              <w:ind w:right="-518"/>
              <w:jc w:val="left"/>
              <w:rPr>
                <w:rFonts w:cs="Arial"/>
                <w:b w:val="0"/>
                <w:i/>
                <w:sz w:val="16"/>
                <w:szCs w:val="16"/>
              </w:rPr>
            </w:pPr>
            <w:r w:rsidRPr="004B335E">
              <w:rPr>
                <w:rFonts w:cs="Arial"/>
                <w:b w:val="0"/>
                <w:i/>
                <w:sz w:val="16"/>
                <w:szCs w:val="16"/>
              </w:rPr>
              <w:t xml:space="preserve">     para el Estado de Oaxaca vigente.</w:t>
            </w:r>
          </w:p>
        </w:tc>
        <w:tc>
          <w:tcPr>
            <w:tcW w:w="1276" w:type="dxa"/>
            <w:vAlign w:val="bottom"/>
          </w:tcPr>
          <w:p w:rsidR="0073521D" w:rsidRPr="004B335E" w:rsidRDefault="0073521D" w:rsidP="00EF3B5B">
            <w:pPr>
              <w:pStyle w:val="corte3centro"/>
              <w:tabs>
                <w:tab w:val="left" w:pos="4578"/>
              </w:tabs>
              <w:ind w:right="-518"/>
              <w:rPr>
                <w:rFonts w:cs="Arial"/>
                <w:b w:val="0"/>
                <w:i/>
                <w:sz w:val="16"/>
                <w:szCs w:val="16"/>
              </w:rPr>
            </w:pPr>
            <w:r w:rsidRPr="004B335E">
              <w:rPr>
                <w:rFonts w:cs="Arial"/>
                <w:b w:val="0"/>
                <w:i/>
                <w:sz w:val="16"/>
                <w:szCs w:val="16"/>
              </w:rPr>
              <w:t>$75.49</w:t>
            </w:r>
          </w:p>
        </w:tc>
        <w:tc>
          <w:tcPr>
            <w:tcW w:w="1716" w:type="dxa"/>
            <w:vAlign w:val="bottom"/>
          </w:tcPr>
          <w:p w:rsidR="0073521D" w:rsidRPr="004B335E" w:rsidRDefault="0073521D" w:rsidP="00EF3B5B">
            <w:pPr>
              <w:pStyle w:val="corte3centro"/>
              <w:tabs>
                <w:tab w:val="left" w:pos="4578"/>
              </w:tabs>
              <w:ind w:right="-518"/>
              <w:jc w:val="left"/>
              <w:rPr>
                <w:rFonts w:cs="Arial"/>
                <w:b w:val="0"/>
                <w:i/>
                <w:sz w:val="16"/>
                <w:szCs w:val="16"/>
              </w:rPr>
            </w:pPr>
            <w:r w:rsidRPr="004B335E">
              <w:rPr>
                <w:rFonts w:cs="Arial"/>
                <w:b w:val="0"/>
                <w:i/>
                <w:sz w:val="16"/>
                <w:szCs w:val="16"/>
              </w:rPr>
              <w:t>$3,775.00</w:t>
            </w:r>
          </w:p>
        </w:tc>
      </w:tr>
    </w:tbl>
    <w:p w:rsidR="0073521D" w:rsidRPr="004B335E" w:rsidRDefault="0073521D" w:rsidP="0073521D">
      <w:pPr>
        <w:pStyle w:val="corte3centro"/>
        <w:ind w:right="-518" w:firstLine="567"/>
        <w:jc w:val="both"/>
        <w:rPr>
          <w:rFonts w:cs="Arial"/>
          <w:b w:val="0"/>
          <w:i/>
          <w:sz w:val="24"/>
          <w:szCs w:val="24"/>
        </w:rPr>
      </w:pPr>
    </w:p>
    <w:p w:rsidR="0073521D" w:rsidRPr="00EA332C" w:rsidRDefault="0073521D" w:rsidP="0073521D">
      <w:pPr>
        <w:pStyle w:val="corte3centro"/>
        <w:tabs>
          <w:tab w:val="left" w:pos="4578"/>
        </w:tabs>
        <w:ind w:right="-518"/>
        <w:jc w:val="both"/>
        <w:rPr>
          <w:rFonts w:cs="Arial"/>
          <w:b w:val="0"/>
          <w:sz w:val="24"/>
          <w:szCs w:val="24"/>
        </w:rPr>
      </w:pPr>
      <w:r>
        <w:rPr>
          <w:rFonts w:cs="Arial"/>
          <w:b w:val="0"/>
          <w:sz w:val="24"/>
          <w:szCs w:val="24"/>
        </w:rPr>
        <w:t xml:space="preserve">         De lo anterior se advierte, en primer lugar que la autoridad demandada al emitir la multa por infracción establecida en el Código Fiscal para el Estado de Oaxaca, con número de control </w:t>
      </w:r>
      <w:r w:rsidR="00347C21">
        <w:rPr>
          <w:rFonts w:cs="Arial"/>
          <w:sz w:val="24"/>
          <w:szCs w:val="24"/>
        </w:rPr>
        <w:t>**********</w:t>
      </w:r>
      <w:r>
        <w:rPr>
          <w:rFonts w:cs="Arial"/>
          <w:b w:val="0"/>
          <w:sz w:val="24"/>
          <w:szCs w:val="24"/>
        </w:rPr>
        <w:t xml:space="preserve"> de 17 diecisiete de agosto de 2017 dos mil diecisiete, señala como fundamento: “</w:t>
      </w:r>
      <w:r w:rsidRPr="00EA332C">
        <w:rPr>
          <w:rFonts w:cs="Arial"/>
          <w:b w:val="0"/>
          <w:i/>
          <w:sz w:val="24"/>
          <w:szCs w:val="24"/>
        </w:rPr>
        <w:t>Artículo 269 fracción I del Código Fiscal para el Estado de Oaxaca vigente”</w:t>
      </w:r>
      <w:r>
        <w:rPr>
          <w:rFonts w:cs="Arial"/>
          <w:b w:val="0"/>
          <w:i/>
          <w:sz w:val="24"/>
          <w:szCs w:val="24"/>
        </w:rPr>
        <w:t xml:space="preserve">  </w:t>
      </w:r>
      <w:r>
        <w:rPr>
          <w:rFonts w:cs="Arial"/>
          <w:b w:val="0"/>
          <w:sz w:val="24"/>
          <w:szCs w:val="24"/>
        </w:rPr>
        <w:t>así también, le informa que “</w:t>
      </w:r>
      <w:r>
        <w:rPr>
          <w:rFonts w:cs="Arial"/>
          <w:b w:val="0"/>
          <w:i/>
          <w:sz w:val="24"/>
          <w:szCs w:val="24"/>
        </w:rPr>
        <w:t>se realizó una revisión minuciosa en el Registro Estatal de Contribuyentes con que cuenta esta Secretaría; la cual contiene los registros contables en materia de declaraciones y pagos. . .que se le ha identificado como sujeto obligado en materia del impuesto de referencia”;</w:t>
      </w:r>
    </w:p>
    <w:p w:rsidR="0073521D" w:rsidRDefault="0073521D" w:rsidP="0073521D">
      <w:pPr>
        <w:pStyle w:val="corte3centro"/>
        <w:tabs>
          <w:tab w:val="left" w:pos="4578"/>
        </w:tabs>
        <w:ind w:right="-518"/>
        <w:jc w:val="both"/>
        <w:rPr>
          <w:rFonts w:cs="Arial"/>
          <w:b w:val="0"/>
          <w:sz w:val="24"/>
          <w:szCs w:val="24"/>
        </w:rPr>
      </w:pPr>
      <w:r>
        <w:rPr>
          <w:rFonts w:cs="Arial"/>
          <w:b w:val="0"/>
          <w:sz w:val="24"/>
          <w:szCs w:val="24"/>
        </w:rPr>
        <w:t>sin embargo, no señala en qué consiste el Impuesto Cedular a los Ingresos por el Otorgamiento del Uso o Goce Temporal de Bienes Inmuebles. Tampoco señala cuáles son las actividades que realiza la actora, para considerarla como sujeto obligado al pago del citado impuesto, ya que si bien es cierto, que la autoridad demandada, hace del conocimiento a la actora que realizó una revisión minuciosa en el Registro Estatal de Contribuyentes con que cuenta la Secretaría, que contiene los registros contables en materia de declaraciones y pagos, también, es cierto, que en ningún momento indica, cuales son las actividades que el actor realiza para adecuarlo como sujeto obligado en materia de impuestos.</w:t>
      </w:r>
    </w:p>
    <w:p w:rsidR="0073521D" w:rsidRDefault="0073521D" w:rsidP="0073521D">
      <w:pPr>
        <w:pStyle w:val="corte3centro"/>
        <w:tabs>
          <w:tab w:val="left" w:pos="4578"/>
        </w:tabs>
        <w:ind w:right="-518"/>
        <w:jc w:val="both"/>
        <w:rPr>
          <w:rFonts w:cs="Arial"/>
          <w:b w:val="0"/>
          <w:sz w:val="24"/>
          <w:szCs w:val="24"/>
        </w:rPr>
      </w:pPr>
    </w:p>
    <w:p w:rsidR="0073521D" w:rsidRPr="00E87363" w:rsidRDefault="0073521D" w:rsidP="0073521D">
      <w:pPr>
        <w:pStyle w:val="corte3centro"/>
        <w:ind w:right="-518" w:firstLine="567"/>
        <w:jc w:val="both"/>
        <w:rPr>
          <w:rFonts w:cs="Arial"/>
          <w:b w:val="0"/>
          <w:color w:val="FF0000"/>
          <w:sz w:val="24"/>
          <w:szCs w:val="24"/>
        </w:rPr>
      </w:pPr>
      <w:r>
        <w:rPr>
          <w:rFonts w:cs="Arial"/>
          <w:b w:val="0"/>
          <w:sz w:val="24"/>
          <w:szCs w:val="24"/>
        </w:rPr>
        <w:t>Lo anterior,</w:t>
      </w:r>
      <w:r w:rsidRPr="00676CA6">
        <w:rPr>
          <w:rFonts w:cs="Arial"/>
          <w:b w:val="0"/>
          <w:sz w:val="24"/>
          <w:szCs w:val="24"/>
        </w:rPr>
        <w:t xml:space="preserve"> resulta</w:t>
      </w:r>
      <w:r>
        <w:rPr>
          <w:rFonts w:cs="Arial"/>
          <w:sz w:val="24"/>
          <w:szCs w:val="24"/>
        </w:rPr>
        <w:t xml:space="preserve"> </w:t>
      </w:r>
      <w:r w:rsidRPr="00676CA6">
        <w:rPr>
          <w:rFonts w:cs="Arial"/>
          <w:b w:val="0"/>
          <w:sz w:val="24"/>
          <w:szCs w:val="24"/>
        </w:rPr>
        <w:t xml:space="preserve">esencial para cumplir con la </w:t>
      </w:r>
      <w:r>
        <w:rPr>
          <w:rFonts w:cs="Arial"/>
          <w:b w:val="0"/>
          <w:sz w:val="24"/>
          <w:szCs w:val="24"/>
        </w:rPr>
        <w:t xml:space="preserve">debida fundamentación y </w:t>
      </w:r>
      <w:r w:rsidRPr="00676CA6">
        <w:rPr>
          <w:rFonts w:cs="Arial"/>
          <w:b w:val="0"/>
          <w:sz w:val="24"/>
          <w:szCs w:val="24"/>
        </w:rPr>
        <w:t xml:space="preserve">motivación a que </w:t>
      </w:r>
      <w:r>
        <w:rPr>
          <w:rFonts w:cs="Arial"/>
          <w:b w:val="0"/>
          <w:sz w:val="24"/>
          <w:szCs w:val="24"/>
        </w:rPr>
        <w:t xml:space="preserve">se encuentra </w:t>
      </w:r>
      <w:r w:rsidRPr="00676CA6">
        <w:rPr>
          <w:rFonts w:cs="Arial"/>
          <w:b w:val="0"/>
          <w:sz w:val="24"/>
          <w:szCs w:val="24"/>
        </w:rPr>
        <w:t>obligada</w:t>
      </w:r>
      <w:r>
        <w:rPr>
          <w:rFonts w:cs="Arial"/>
          <w:b w:val="0"/>
          <w:sz w:val="24"/>
          <w:szCs w:val="24"/>
        </w:rPr>
        <w:t xml:space="preserve"> la autoridad demandada al emitir todo acto administrativo</w:t>
      </w:r>
      <w:r w:rsidRPr="00676CA6">
        <w:rPr>
          <w:rFonts w:cs="Arial"/>
          <w:b w:val="0"/>
          <w:sz w:val="24"/>
          <w:szCs w:val="24"/>
        </w:rPr>
        <w:t xml:space="preserve">, </w:t>
      </w:r>
      <w:r>
        <w:rPr>
          <w:rFonts w:cs="Arial"/>
          <w:b w:val="0"/>
          <w:sz w:val="24"/>
          <w:szCs w:val="24"/>
        </w:rPr>
        <w:t xml:space="preserve">ya que  con la sola manifestación de que el actor fue identificado como sujeto </w:t>
      </w:r>
      <w:r w:rsidRPr="00E15A76">
        <w:rPr>
          <w:rFonts w:cs="Arial"/>
          <w:b w:val="0"/>
          <w:sz w:val="24"/>
          <w:szCs w:val="24"/>
        </w:rPr>
        <w:t>obligado al pago del Impuesto Cedular a los Ingresos por el Otorgamiento del Uso o goce Temporal de Bienes Inmuebles, no hay argumento lógico-jurídico que obliguen a la actora a pagar el impuesto señalado, por lo que la deja en estado de indefensión. Es decir, que la autoridad demandada, tiene la carga de la prueba para demostrar que las actividades comerciales que realiza la actora,</w:t>
      </w:r>
      <w:r>
        <w:rPr>
          <w:rFonts w:cs="Arial"/>
          <w:b w:val="0"/>
          <w:sz w:val="24"/>
          <w:szCs w:val="24"/>
        </w:rPr>
        <w:t xml:space="preserve"> están sujetas al pago del I</w:t>
      </w:r>
      <w:r w:rsidRPr="00E15A76">
        <w:rPr>
          <w:rFonts w:cs="Arial"/>
          <w:b w:val="0"/>
          <w:sz w:val="24"/>
          <w:szCs w:val="24"/>
        </w:rPr>
        <w:t xml:space="preserve">mpuesto </w:t>
      </w:r>
      <w:r>
        <w:rPr>
          <w:rFonts w:cs="Arial"/>
          <w:b w:val="0"/>
          <w:sz w:val="24"/>
          <w:szCs w:val="24"/>
        </w:rPr>
        <w:t>Cedular a los Ingresos por el Otorgamiento del Uso o Goce Temporal de Bienes Inmuebles</w:t>
      </w:r>
      <w:r w:rsidRPr="00E87363">
        <w:rPr>
          <w:rFonts w:cs="Arial"/>
          <w:b w:val="0"/>
          <w:color w:val="FF0000"/>
          <w:sz w:val="24"/>
          <w:szCs w:val="24"/>
        </w:rPr>
        <w:t xml:space="preserve">. </w:t>
      </w:r>
    </w:p>
    <w:p w:rsidR="0073521D" w:rsidRPr="00E87363" w:rsidRDefault="0073521D" w:rsidP="0073521D">
      <w:pPr>
        <w:pStyle w:val="corte3centro"/>
        <w:ind w:right="-518" w:firstLine="567"/>
        <w:jc w:val="both"/>
        <w:rPr>
          <w:rFonts w:cs="Arial"/>
          <w:b w:val="0"/>
          <w:color w:val="FF0000"/>
          <w:sz w:val="24"/>
          <w:szCs w:val="24"/>
        </w:rPr>
      </w:pPr>
    </w:p>
    <w:p w:rsidR="0073521D" w:rsidRPr="003C0E2A" w:rsidRDefault="0073521D" w:rsidP="0073521D">
      <w:pPr>
        <w:pStyle w:val="corte3centro"/>
        <w:ind w:right="-518" w:firstLine="567"/>
        <w:jc w:val="both"/>
        <w:rPr>
          <w:rFonts w:cs="Arial"/>
          <w:b w:val="0"/>
          <w:sz w:val="24"/>
          <w:szCs w:val="24"/>
        </w:rPr>
      </w:pPr>
      <w:r>
        <w:rPr>
          <w:rFonts w:cs="Arial"/>
          <w:b w:val="0"/>
          <w:sz w:val="24"/>
          <w:szCs w:val="24"/>
        </w:rPr>
        <w:t>Lo anterior</w:t>
      </w:r>
      <w:r w:rsidRPr="004C6F80">
        <w:rPr>
          <w:rFonts w:cs="Arial"/>
          <w:b w:val="0"/>
          <w:sz w:val="24"/>
          <w:szCs w:val="24"/>
        </w:rPr>
        <w:t xml:space="preserve"> </w:t>
      </w:r>
      <w:r>
        <w:rPr>
          <w:rFonts w:cs="Arial"/>
          <w:b w:val="0"/>
          <w:sz w:val="24"/>
          <w:szCs w:val="24"/>
        </w:rPr>
        <w:t>permite afirmar que la</w:t>
      </w:r>
      <w:r w:rsidRPr="004C6F80">
        <w:rPr>
          <w:rFonts w:cs="Arial"/>
          <w:b w:val="0"/>
          <w:sz w:val="24"/>
          <w:szCs w:val="24"/>
        </w:rPr>
        <w:t xml:space="preserve"> autoridad enjuiciada</w:t>
      </w:r>
      <w:r w:rsidRPr="005271D4">
        <w:t xml:space="preserve"> </w:t>
      </w:r>
      <w:r w:rsidRPr="005271D4">
        <w:rPr>
          <w:rFonts w:cs="Arial"/>
          <w:b w:val="0"/>
          <w:sz w:val="24"/>
          <w:szCs w:val="24"/>
        </w:rPr>
        <w:t xml:space="preserve">incumplió con la obligación de </w:t>
      </w:r>
      <w:r>
        <w:rPr>
          <w:rFonts w:cs="Arial"/>
          <w:b w:val="0"/>
          <w:sz w:val="24"/>
          <w:szCs w:val="24"/>
        </w:rPr>
        <w:t xml:space="preserve">la debida fundamentación y </w:t>
      </w:r>
      <w:r w:rsidRPr="005271D4">
        <w:rPr>
          <w:rFonts w:cs="Arial"/>
          <w:b w:val="0"/>
          <w:sz w:val="24"/>
          <w:szCs w:val="24"/>
        </w:rPr>
        <w:t xml:space="preserve">motivación, que todo </w:t>
      </w:r>
      <w:r>
        <w:rPr>
          <w:rFonts w:cs="Arial"/>
          <w:b w:val="0"/>
          <w:sz w:val="24"/>
          <w:szCs w:val="24"/>
        </w:rPr>
        <w:t>acto de autoridad debe contener;</w:t>
      </w:r>
      <w:r w:rsidRPr="005271D4">
        <w:rPr>
          <w:rFonts w:cs="Arial"/>
          <w:b w:val="0"/>
          <w:sz w:val="24"/>
          <w:szCs w:val="24"/>
        </w:rPr>
        <w:t xml:space="preserve">  ya que si bien es cierto, que la autoridad </w:t>
      </w:r>
      <w:r>
        <w:rPr>
          <w:rFonts w:cs="Arial"/>
          <w:b w:val="0"/>
          <w:sz w:val="24"/>
          <w:szCs w:val="24"/>
        </w:rPr>
        <w:t xml:space="preserve">le impone una sanción que </w:t>
      </w:r>
      <w:r>
        <w:rPr>
          <w:rFonts w:cs="Arial"/>
          <w:b w:val="0"/>
          <w:sz w:val="24"/>
          <w:szCs w:val="24"/>
        </w:rPr>
        <w:lastRenderedPageBreak/>
        <w:t>fundó en el artículo 269 fracción I del Código Fiscal para el Estado de Oaxaca Vigente, consistente en una multa de cincuenta a cien veces el valor de la unidad de Medida y Actualización vigente, también lo es, que la autoridad demandada, únicamente se limita a señalar como motivación que la hoy actora, fue identificada como sujeto obligado al pago del Impuesto Cedular a los Ingresos por el Otorgamiento del Uso o goce Temporal de Bienes Inmuebles, sin mencionar,  en qué consiste el citado impuesto, ni cuáles son las actividades que realiza la actora para que esté obligada al pago del citado impuesto</w:t>
      </w:r>
      <w:r>
        <w:rPr>
          <w:rFonts w:cs="Arial"/>
          <w:sz w:val="24"/>
          <w:szCs w:val="24"/>
        </w:rPr>
        <w:t>.</w:t>
      </w:r>
      <w:r w:rsidRPr="00F5368D">
        <w:rPr>
          <w:rFonts w:cs="Arial"/>
          <w:sz w:val="24"/>
          <w:szCs w:val="24"/>
        </w:rPr>
        <w:t xml:space="preserve"> </w:t>
      </w:r>
      <w:r>
        <w:rPr>
          <w:rFonts w:cs="Arial"/>
          <w:b w:val="0"/>
          <w:sz w:val="24"/>
          <w:szCs w:val="24"/>
        </w:rPr>
        <w:t>P</w:t>
      </w:r>
      <w:r w:rsidRPr="00AE076A">
        <w:rPr>
          <w:rFonts w:cs="Arial"/>
          <w:b w:val="0"/>
          <w:sz w:val="24"/>
          <w:szCs w:val="24"/>
        </w:rPr>
        <w:t xml:space="preserve">or </w:t>
      </w:r>
      <w:r w:rsidRPr="00E1058C">
        <w:rPr>
          <w:rFonts w:cs="Arial"/>
          <w:b w:val="0"/>
          <w:sz w:val="24"/>
          <w:szCs w:val="24"/>
        </w:rPr>
        <w:t xml:space="preserve">ello, se concluye que el acto impugnado resulta ilegal, al no contener el requisito que para su validez, le impone la fracción V, del artículo 7 de la Ley de Justicia Administrativa; en consecuencia, con fundamento en el artículo 178, fracción VI, de la Ley de Justicia Administrativa para el Estado, procede declarar </w:t>
      </w:r>
      <w:r>
        <w:rPr>
          <w:rFonts w:cs="Arial"/>
          <w:b w:val="0"/>
          <w:sz w:val="24"/>
          <w:szCs w:val="24"/>
        </w:rPr>
        <w:t>la</w:t>
      </w:r>
      <w:r w:rsidRPr="00E1058C">
        <w:rPr>
          <w:rFonts w:cs="Arial"/>
          <w:b w:val="0"/>
          <w:sz w:val="24"/>
          <w:szCs w:val="24"/>
        </w:rPr>
        <w:t xml:space="preserve"> </w:t>
      </w:r>
      <w:r w:rsidRPr="00237F27">
        <w:rPr>
          <w:rFonts w:cs="Arial"/>
          <w:sz w:val="24"/>
          <w:szCs w:val="24"/>
        </w:rPr>
        <w:t>NULIDAD LISA Y LLANA</w:t>
      </w:r>
      <w:r w:rsidRPr="00E1058C">
        <w:rPr>
          <w:rFonts w:cs="Arial"/>
          <w:b w:val="0"/>
          <w:sz w:val="24"/>
          <w:szCs w:val="24"/>
        </w:rPr>
        <w:t xml:space="preserve"> </w:t>
      </w:r>
      <w:r w:rsidRPr="00E1058C">
        <w:rPr>
          <w:b w:val="0"/>
          <w:sz w:val="24"/>
          <w:szCs w:val="24"/>
        </w:rPr>
        <w:t xml:space="preserve">de la multa por infracción establecida en el Código Fiscal para el Estado de Oaxaca, con número de control </w:t>
      </w:r>
      <w:r w:rsidR="00347C21">
        <w:rPr>
          <w:rFonts w:cs="Arial"/>
          <w:sz w:val="24"/>
          <w:szCs w:val="24"/>
        </w:rPr>
        <w:t>**********</w:t>
      </w:r>
      <w:r w:rsidRPr="00237F27">
        <w:rPr>
          <w:sz w:val="24"/>
          <w:szCs w:val="24"/>
        </w:rPr>
        <w:t xml:space="preserve"> de </w:t>
      </w:r>
      <w:r>
        <w:rPr>
          <w:sz w:val="24"/>
          <w:szCs w:val="24"/>
        </w:rPr>
        <w:t xml:space="preserve">17 diecisiete </w:t>
      </w:r>
      <w:r w:rsidRPr="00237F27">
        <w:rPr>
          <w:sz w:val="24"/>
          <w:szCs w:val="24"/>
        </w:rPr>
        <w:t>de agosto de 2017 dos mil diecisiete</w:t>
      </w:r>
      <w:r>
        <w:rPr>
          <w:sz w:val="24"/>
          <w:szCs w:val="24"/>
        </w:rPr>
        <w:t xml:space="preserve">, </w:t>
      </w:r>
      <w:r>
        <w:rPr>
          <w:b w:val="0"/>
          <w:sz w:val="24"/>
          <w:szCs w:val="24"/>
        </w:rPr>
        <w:t>emitida por la Directora de Ingresos y Recaudación</w:t>
      </w:r>
      <w:r w:rsidRPr="003C0E2A">
        <w:rPr>
          <w:rFonts w:cs="Arial"/>
          <w:b w:val="0"/>
          <w:sz w:val="24"/>
          <w:szCs w:val="24"/>
        </w:rPr>
        <w:t xml:space="preserve"> </w:t>
      </w:r>
      <w:r>
        <w:rPr>
          <w:b w:val="0"/>
          <w:sz w:val="24"/>
          <w:szCs w:val="24"/>
        </w:rPr>
        <w:t>de la Secretaría de Finanzas del Poder Ejecutivo del Estado.</w:t>
      </w:r>
    </w:p>
    <w:p w:rsidR="0073521D" w:rsidRPr="00E1058C" w:rsidRDefault="0073521D" w:rsidP="0073521D">
      <w:pPr>
        <w:pStyle w:val="corte3centro"/>
        <w:ind w:right="-518" w:firstLine="567"/>
        <w:jc w:val="both"/>
        <w:rPr>
          <w:b w:val="0"/>
          <w:sz w:val="24"/>
          <w:szCs w:val="24"/>
        </w:rPr>
      </w:pPr>
    </w:p>
    <w:p w:rsidR="004F04EA" w:rsidRDefault="000B6102" w:rsidP="004F04EA">
      <w:pPr>
        <w:pStyle w:val="corte3centro"/>
        <w:ind w:right="-518" w:firstLine="567"/>
        <w:jc w:val="both"/>
        <w:rPr>
          <w:rFonts w:cs="Arial"/>
          <w:b w:val="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simplePos x="0" y="0"/>
                <wp:positionH relativeFrom="column">
                  <wp:posOffset>-1313180</wp:posOffset>
                </wp:positionH>
                <wp:positionV relativeFrom="paragraph">
                  <wp:posOffset>2399030</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0B6102" w:rsidRDefault="000B6102" w:rsidP="000B610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103.4pt;margin-top:188.9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">
                <v:textbox>
                  <w:txbxContent>
                    <w:p w:rsidR="000B6102" w:rsidRDefault="000B6102" w:rsidP="000B610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4F04EA" w:rsidRPr="00F5368D">
        <w:rPr>
          <w:rFonts w:cs="Arial"/>
          <w:b w:val="0"/>
          <w:sz w:val="24"/>
          <w:szCs w:val="24"/>
        </w:rPr>
        <w:t>Por último</w:t>
      </w:r>
      <w:r w:rsidR="004F04EA">
        <w:rPr>
          <w:rFonts w:cs="Arial"/>
          <w:b w:val="0"/>
          <w:sz w:val="24"/>
          <w:szCs w:val="24"/>
        </w:rPr>
        <w:t>,</w:t>
      </w:r>
      <w:r w:rsidR="004F04EA" w:rsidRPr="00F5368D">
        <w:rPr>
          <w:rFonts w:cs="Arial"/>
          <w:b w:val="0"/>
          <w:sz w:val="24"/>
          <w:szCs w:val="24"/>
        </w:rPr>
        <w:t xml:space="preserve"> es preciso establecer que los Tribunales deben ocuparse de todos los planteamientos formulados por las partes, </w:t>
      </w:r>
      <w:r w:rsidR="004F04EA">
        <w:rPr>
          <w:rFonts w:cs="Arial"/>
          <w:b w:val="0"/>
          <w:sz w:val="24"/>
          <w:szCs w:val="24"/>
        </w:rPr>
        <w:t>pero también,</w:t>
      </w:r>
      <w:r w:rsidR="004F04EA"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B032AD" w:rsidRDefault="00B032AD" w:rsidP="004F04EA">
      <w:pPr>
        <w:pStyle w:val="corte3centro"/>
        <w:ind w:right="-518" w:firstLine="567"/>
        <w:jc w:val="both"/>
        <w:rPr>
          <w:rFonts w:cs="Arial"/>
          <w:b w:val="0"/>
          <w:sz w:val="24"/>
          <w:szCs w:val="24"/>
        </w:rPr>
      </w:pPr>
    </w:p>
    <w:p w:rsidR="004F04EA" w:rsidRDefault="004F04EA" w:rsidP="004F04EA">
      <w:pPr>
        <w:pStyle w:val="corte3centro"/>
        <w:spacing w:line="276" w:lineRule="auto"/>
        <w:ind w:left="567" w:right="-518"/>
        <w:jc w:val="both"/>
        <w:rPr>
          <w:rFonts w:cs="Arial"/>
          <w:b w:val="0"/>
          <w:i/>
          <w:sz w:val="23"/>
          <w:szCs w:val="23"/>
        </w:rPr>
      </w:pPr>
      <w:r w:rsidRPr="0073521D">
        <w:rPr>
          <w:rFonts w:cs="Arial"/>
          <w:i/>
          <w:sz w:val="23"/>
          <w:szCs w:val="23"/>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73521D">
        <w:rPr>
          <w:rFonts w:cs="Arial"/>
          <w:b w:val="0"/>
          <w:i/>
          <w:sz w:val="23"/>
          <w:szCs w:val="23"/>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73521D">
        <w:rPr>
          <w:rFonts w:cs="Arial"/>
          <w:i/>
          <w:sz w:val="23"/>
          <w:szCs w:val="23"/>
        </w:rPr>
        <w:t xml:space="preserve"> </w:t>
      </w:r>
      <w:r w:rsidRPr="0073521D">
        <w:rPr>
          <w:rFonts w:cs="Arial"/>
          <w:b w:val="0"/>
          <w:i/>
          <w:sz w:val="23"/>
          <w:szCs w:val="23"/>
        </w:rPr>
        <w:t>actor, y sólo en el evento de estimarlos infundados, se</w:t>
      </w:r>
      <w:r w:rsidRPr="0073521D">
        <w:rPr>
          <w:rFonts w:cs="Arial"/>
          <w:i/>
          <w:sz w:val="23"/>
          <w:szCs w:val="23"/>
        </w:rPr>
        <w:t xml:space="preserve"> </w:t>
      </w:r>
      <w:r w:rsidRPr="0073521D">
        <w:rPr>
          <w:rFonts w:cs="Arial"/>
          <w:b w:val="0"/>
          <w:i/>
          <w:sz w:val="23"/>
          <w:szCs w:val="23"/>
        </w:rPr>
        <w:t>pronuncie sobre los conceptos de impugnación que lleven a una declaratoria de nulidad para efectos, bien sea de la llamada comúnmente "del tercer tipo", por versar sobre el ejercicio de facultades discrecionales o, en su caso, para otros efectos”.</w:t>
      </w:r>
    </w:p>
    <w:p w:rsidR="00BD53C3" w:rsidRDefault="00BD53C3" w:rsidP="004F04EA">
      <w:pPr>
        <w:pStyle w:val="corte3centro"/>
        <w:spacing w:line="276" w:lineRule="auto"/>
        <w:ind w:left="567" w:right="-518"/>
        <w:jc w:val="both"/>
        <w:rPr>
          <w:rFonts w:cs="Arial"/>
          <w:b w:val="0"/>
          <w:i/>
          <w:sz w:val="23"/>
          <w:szCs w:val="23"/>
        </w:rPr>
      </w:pPr>
    </w:p>
    <w:p w:rsidR="00BD53C3" w:rsidRDefault="00BD53C3" w:rsidP="004F04EA">
      <w:pPr>
        <w:pStyle w:val="corte3centro"/>
        <w:spacing w:line="276" w:lineRule="auto"/>
        <w:ind w:left="567" w:right="-518"/>
        <w:jc w:val="both"/>
        <w:rPr>
          <w:rFonts w:cs="Arial"/>
          <w:b w:val="0"/>
          <w:i/>
          <w:sz w:val="23"/>
          <w:szCs w:val="23"/>
        </w:rPr>
      </w:pPr>
    </w:p>
    <w:p w:rsidR="004F04EA" w:rsidRPr="00017A04" w:rsidRDefault="004F04EA" w:rsidP="004F04EA">
      <w:pPr>
        <w:spacing w:line="360" w:lineRule="auto"/>
        <w:ind w:right="-518" w:firstLine="567"/>
        <w:jc w:val="both"/>
        <w:rPr>
          <w:rFonts w:ascii="Arial" w:hAnsi="Arial" w:cs="Arial"/>
          <w:bCs/>
          <w:sz w:val="24"/>
          <w:szCs w:val="24"/>
        </w:rPr>
      </w:pPr>
      <w:r w:rsidRPr="00017A04">
        <w:rPr>
          <w:rFonts w:ascii="Arial" w:hAnsi="Arial" w:cs="Arial"/>
          <w:bCs/>
          <w:sz w:val="24"/>
          <w:szCs w:val="24"/>
        </w:rPr>
        <w:t>Por lo anteriormente expuesto, y con fundamento en los artículos 177, 178 fracción VI y 179, de la Ley de Justicia Administrativa para el Estado, se</w:t>
      </w:r>
    </w:p>
    <w:p w:rsidR="004F04EA" w:rsidRDefault="004F04EA" w:rsidP="004F04EA">
      <w:pPr>
        <w:spacing w:line="360" w:lineRule="auto"/>
        <w:ind w:right="-518" w:firstLine="567"/>
        <w:jc w:val="both"/>
        <w:rPr>
          <w:rFonts w:ascii="Arial" w:hAnsi="Arial" w:cs="Arial"/>
          <w:bCs/>
          <w:color w:val="000000"/>
          <w:sz w:val="24"/>
          <w:szCs w:val="24"/>
        </w:rPr>
      </w:pPr>
    </w:p>
    <w:p w:rsidR="004F04EA" w:rsidRDefault="004F04EA" w:rsidP="004F04EA">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4F04EA" w:rsidRDefault="004F04EA" w:rsidP="004F04EA">
      <w:pPr>
        <w:spacing w:line="360" w:lineRule="auto"/>
        <w:ind w:right="-518" w:firstLine="708"/>
        <w:jc w:val="center"/>
        <w:rPr>
          <w:rFonts w:ascii="Arial" w:hAnsi="Arial" w:cs="Arial"/>
          <w:bCs/>
          <w:color w:val="000000"/>
          <w:sz w:val="24"/>
          <w:szCs w:val="24"/>
        </w:rPr>
      </w:pPr>
    </w:p>
    <w:p w:rsidR="004F04EA" w:rsidRPr="00F149F1" w:rsidRDefault="004F04EA" w:rsidP="004F04EA">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 lo Contencioso Administrativo y de Cuentas del Poder Judicial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 - - - </w:t>
      </w:r>
    </w:p>
    <w:p w:rsidR="004F04EA" w:rsidRPr="00F149F1" w:rsidRDefault="004F04EA" w:rsidP="004F04EA">
      <w:pPr>
        <w:spacing w:line="360" w:lineRule="auto"/>
        <w:ind w:right="-1134"/>
        <w:jc w:val="both"/>
        <w:rPr>
          <w:rFonts w:ascii="Arial" w:hAnsi="Arial" w:cs="Arial"/>
          <w:bCs/>
          <w:color w:val="000000"/>
          <w:sz w:val="24"/>
          <w:szCs w:val="24"/>
        </w:rPr>
      </w:pPr>
    </w:p>
    <w:p w:rsidR="004F04EA" w:rsidRPr="00F149F1" w:rsidRDefault="004F04EA" w:rsidP="004F04EA">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Pr>
          <w:rFonts w:ascii="Arial" w:hAnsi="Arial" w:cs="Arial"/>
          <w:bCs/>
          <w:color w:val="000000"/>
          <w:sz w:val="24"/>
          <w:szCs w:val="24"/>
        </w:rPr>
        <w:t xml:space="preserve">s,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4F04EA" w:rsidRPr="00F149F1" w:rsidRDefault="004F04EA" w:rsidP="004F04EA">
      <w:pPr>
        <w:spacing w:line="360" w:lineRule="auto"/>
        <w:ind w:right="-539"/>
        <w:jc w:val="both"/>
        <w:rPr>
          <w:rFonts w:ascii="Arial" w:hAnsi="Arial" w:cs="Arial"/>
          <w:bCs/>
          <w:color w:val="000000"/>
          <w:sz w:val="24"/>
          <w:szCs w:val="24"/>
        </w:rPr>
      </w:pPr>
    </w:p>
    <w:p w:rsidR="004F04EA" w:rsidRPr="0041504C" w:rsidRDefault="004F04EA" w:rsidP="004F04EA">
      <w:pPr>
        <w:pStyle w:val="corte3centro"/>
        <w:ind w:right="-518" w:firstLine="567"/>
        <w:jc w:val="both"/>
        <w:rPr>
          <w:rFonts w:cs="Arial"/>
          <w:bCs/>
          <w:color w:val="000000"/>
          <w:sz w:val="24"/>
          <w:szCs w:val="24"/>
        </w:rPr>
      </w:pPr>
      <w:r w:rsidRPr="00907C3A">
        <w:rPr>
          <w:rFonts w:cs="Arial"/>
          <w:bCs/>
          <w:color w:val="000000"/>
          <w:sz w:val="24"/>
          <w:szCs w:val="24"/>
        </w:rPr>
        <w:t>TERCERO.</w:t>
      </w:r>
      <w:r w:rsidRPr="00F149F1">
        <w:rPr>
          <w:rFonts w:cs="Arial"/>
          <w:bCs/>
          <w:color w:val="000000"/>
          <w:sz w:val="24"/>
          <w:szCs w:val="24"/>
        </w:rPr>
        <w:t xml:space="preserve"> </w:t>
      </w:r>
      <w:r>
        <w:rPr>
          <w:rFonts w:cs="Arial"/>
          <w:b w:val="0"/>
          <w:bCs/>
          <w:color w:val="000000"/>
          <w:sz w:val="24"/>
          <w:szCs w:val="24"/>
        </w:rPr>
        <w:t>Se declara la</w:t>
      </w:r>
      <w:r w:rsidRPr="00E1058C">
        <w:rPr>
          <w:rFonts w:cs="Arial"/>
          <w:b w:val="0"/>
          <w:sz w:val="24"/>
          <w:szCs w:val="24"/>
        </w:rPr>
        <w:t xml:space="preserve"> </w:t>
      </w:r>
      <w:r w:rsidRPr="00237F27">
        <w:rPr>
          <w:rFonts w:cs="Arial"/>
          <w:sz w:val="24"/>
          <w:szCs w:val="24"/>
        </w:rPr>
        <w:t>NULIDAD LISA Y LLANA</w:t>
      </w:r>
      <w:r w:rsidRPr="00E1058C">
        <w:rPr>
          <w:rFonts w:cs="Arial"/>
          <w:b w:val="0"/>
          <w:sz w:val="24"/>
          <w:szCs w:val="24"/>
        </w:rPr>
        <w:t xml:space="preserve"> </w:t>
      </w:r>
      <w:r w:rsidRPr="00E1058C">
        <w:rPr>
          <w:b w:val="0"/>
          <w:sz w:val="24"/>
          <w:szCs w:val="24"/>
        </w:rPr>
        <w:t xml:space="preserve">de la multa por infracción establecida en el Código Fiscal para el Estado de Oaxaca, con número de control </w:t>
      </w:r>
      <w:r w:rsidR="00347C21">
        <w:rPr>
          <w:rFonts w:cs="Arial"/>
          <w:sz w:val="24"/>
          <w:szCs w:val="24"/>
        </w:rPr>
        <w:t>**********</w:t>
      </w:r>
      <w:r w:rsidRPr="00237F27">
        <w:rPr>
          <w:sz w:val="24"/>
          <w:szCs w:val="24"/>
        </w:rPr>
        <w:t xml:space="preserve"> de </w:t>
      </w:r>
      <w:r w:rsidR="0073521D">
        <w:rPr>
          <w:sz w:val="24"/>
          <w:szCs w:val="24"/>
        </w:rPr>
        <w:t>17 diecisiete de</w:t>
      </w:r>
      <w:r w:rsidRPr="00237F27">
        <w:rPr>
          <w:sz w:val="24"/>
          <w:szCs w:val="24"/>
        </w:rPr>
        <w:t xml:space="preserve"> agosto de 2017 dos mil diecisiete</w:t>
      </w:r>
      <w:r>
        <w:rPr>
          <w:sz w:val="24"/>
          <w:szCs w:val="24"/>
        </w:rPr>
        <w:t xml:space="preserve">, </w:t>
      </w:r>
      <w:r>
        <w:rPr>
          <w:b w:val="0"/>
          <w:sz w:val="24"/>
          <w:szCs w:val="24"/>
        </w:rPr>
        <w:t>emitida por la Directora de Ingresos y Recaudación de la Secretaría de Finanzas del Poder Ejecutivo del Estado.- - - - - - - - - - - - - - - - - - - - - - - - - - - - - - - - - - - - - - - - - - - - - - -</w:t>
      </w:r>
    </w:p>
    <w:p w:rsidR="004F04EA" w:rsidRDefault="004F04EA" w:rsidP="004F04EA">
      <w:pPr>
        <w:spacing w:line="360" w:lineRule="auto"/>
        <w:ind w:right="-518"/>
        <w:jc w:val="both"/>
        <w:rPr>
          <w:rFonts w:ascii="Arial" w:hAnsi="Arial" w:cs="Arial"/>
          <w:bCs/>
          <w:color w:val="000000"/>
          <w:sz w:val="24"/>
          <w:szCs w:val="24"/>
        </w:rPr>
      </w:pPr>
    </w:p>
    <w:p w:rsidR="004F04EA" w:rsidRPr="00E515F7" w:rsidRDefault="004F04EA" w:rsidP="004F04EA">
      <w:pPr>
        <w:spacing w:line="360" w:lineRule="auto"/>
        <w:ind w:right="-518" w:firstLine="567"/>
        <w:jc w:val="both"/>
        <w:rPr>
          <w:rFonts w:ascii="Arial" w:hAnsi="Arial" w:cs="Arial"/>
          <w:b/>
          <w:bCs/>
          <w:color w:val="000000"/>
          <w:sz w:val="24"/>
          <w:szCs w:val="24"/>
        </w:rPr>
      </w:pPr>
      <w:r w:rsidRPr="00283F73">
        <w:rPr>
          <w:rFonts w:ascii="Arial" w:hAnsi="Arial" w:cs="Arial"/>
          <w:b/>
          <w:bCs/>
          <w:color w:val="000000"/>
          <w:sz w:val="24"/>
          <w:szCs w:val="24"/>
        </w:rPr>
        <w:t>CUARTO.</w:t>
      </w:r>
      <w:r w:rsidRPr="00283F73">
        <w:rPr>
          <w:rFonts w:ascii="Arial" w:hAnsi="Arial" w:cs="Arial"/>
          <w:bCs/>
          <w:color w:val="000000"/>
          <w:sz w:val="24"/>
          <w:szCs w:val="24"/>
        </w:rPr>
        <w:t xml:space="preserve"> </w:t>
      </w:r>
      <w:r w:rsidRPr="00514151">
        <w:rPr>
          <w:rFonts w:ascii="Arial" w:hAnsi="Arial" w:cs="Arial"/>
          <w:bCs/>
          <w:color w:val="000000"/>
          <w:sz w:val="24"/>
          <w:szCs w:val="24"/>
        </w:rPr>
        <w:t xml:space="preserve">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w:t>
      </w:r>
      <w:r w:rsidRPr="00514151">
        <w:rPr>
          <w:rFonts w:ascii="Arial" w:hAnsi="Arial" w:cs="Arial"/>
          <w:bCs/>
          <w:color w:val="000000"/>
          <w:sz w:val="24"/>
          <w:szCs w:val="24"/>
        </w:rPr>
        <w:t xml:space="preserve"> 142</w:t>
      </w:r>
      <w:r>
        <w:rPr>
          <w:rFonts w:ascii="Arial" w:hAnsi="Arial" w:cs="Arial"/>
          <w:bCs/>
          <w:color w:val="000000"/>
          <w:sz w:val="24"/>
          <w:szCs w:val="24"/>
        </w:rPr>
        <w:t>,</w:t>
      </w:r>
      <w:r w:rsidRPr="00514151">
        <w:rPr>
          <w:rFonts w:ascii="Arial" w:hAnsi="Arial" w:cs="Arial"/>
          <w:bCs/>
          <w:color w:val="000000"/>
          <w:sz w:val="24"/>
          <w:szCs w:val="24"/>
        </w:rPr>
        <w:t xml:space="preserve"> fracción I</w:t>
      </w:r>
      <w:r>
        <w:rPr>
          <w:rFonts w:ascii="Arial" w:hAnsi="Arial" w:cs="Arial"/>
          <w:bCs/>
          <w:color w:val="000000"/>
          <w:sz w:val="24"/>
          <w:szCs w:val="24"/>
        </w:rPr>
        <w:t>,</w:t>
      </w:r>
      <w:r w:rsidRPr="00514151">
        <w:rPr>
          <w:rFonts w:ascii="Arial" w:hAnsi="Arial" w:cs="Arial"/>
          <w:bCs/>
          <w:color w:val="000000"/>
          <w:sz w:val="24"/>
          <w:szCs w:val="24"/>
        </w:rPr>
        <w:t xml:space="preserve">  y 143</w:t>
      </w:r>
      <w:r>
        <w:rPr>
          <w:rFonts w:ascii="Arial" w:hAnsi="Arial" w:cs="Arial"/>
          <w:bCs/>
          <w:color w:val="000000"/>
          <w:sz w:val="24"/>
          <w:szCs w:val="24"/>
        </w:rPr>
        <w:t xml:space="preserve">, fracciones I y II, </w:t>
      </w:r>
      <w:r w:rsidRPr="00514151">
        <w:rPr>
          <w:rFonts w:ascii="Arial" w:hAnsi="Arial" w:cs="Arial"/>
          <w:bCs/>
          <w:color w:val="000000"/>
          <w:sz w:val="24"/>
          <w:szCs w:val="24"/>
        </w:rPr>
        <w:t xml:space="preserve">de la Ley de Justicia Administrativa para el Estado, </w:t>
      </w:r>
      <w:r>
        <w:rPr>
          <w:rFonts w:ascii="Arial" w:hAnsi="Arial" w:cs="Arial"/>
          <w:b/>
          <w:bCs/>
          <w:color w:val="000000"/>
          <w:sz w:val="24"/>
          <w:szCs w:val="24"/>
        </w:rPr>
        <w:t xml:space="preserve">NOTIFÍQUESE PERSONALMENTE </w:t>
      </w:r>
      <w:r w:rsidRPr="001A33B6">
        <w:rPr>
          <w:rFonts w:ascii="Arial" w:hAnsi="Arial" w:cs="Arial"/>
          <w:b/>
          <w:bCs/>
          <w:color w:val="000000"/>
          <w:sz w:val="24"/>
          <w:szCs w:val="24"/>
        </w:rPr>
        <w:t>A LA PARTE ACTORA, Y POR OFICIO A LA AUTORIDAD DEMANDADA.</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 - - - - - - - - - - - </w:t>
      </w:r>
      <w:r>
        <w:rPr>
          <w:rFonts w:ascii="Arial" w:hAnsi="Arial" w:cs="Arial"/>
          <w:b/>
          <w:bCs/>
          <w:color w:val="000000"/>
          <w:sz w:val="24"/>
          <w:szCs w:val="24"/>
        </w:rPr>
        <w:t>- - - - - - - - - - - - -</w:t>
      </w:r>
    </w:p>
    <w:p w:rsidR="004F04EA" w:rsidRDefault="004F04EA" w:rsidP="004F04EA">
      <w:pPr>
        <w:spacing w:line="360" w:lineRule="auto"/>
        <w:ind w:right="-518" w:firstLine="708"/>
        <w:jc w:val="both"/>
        <w:rPr>
          <w:rFonts w:ascii="Arial" w:hAnsi="Arial" w:cs="Arial"/>
          <w:bCs/>
          <w:color w:val="000000"/>
          <w:sz w:val="24"/>
          <w:szCs w:val="24"/>
        </w:rPr>
      </w:pPr>
    </w:p>
    <w:p w:rsidR="004F04EA" w:rsidRPr="007B6083" w:rsidRDefault="004F04EA" w:rsidP="004F04EA">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Pr>
          <w:rFonts w:ascii="Arial" w:hAnsi="Arial" w:cs="Arial"/>
          <w:sz w:val="24"/>
          <w:szCs w:val="24"/>
        </w:rPr>
        <w:t xml:space="preserve">resolvió </w:t>
      </w:r>
      <w:r w:rsidRPr="007B6083">
        <w:rPr>
          <w:rFonts w:ascii="Arial" w:hAnsi="Arial" w:cs="Arial"/>
          <w:sz w:val="24"/>
          <w:szCs w:val="24"/>
        </w:rPr>
        <w:t xml:space="preserve">y firma la </w:t>
      </w:r>
      <w:r>
        <w:rPr>
          <w:rFonts w:ascii="Arial" w:hAnsi="Arial" w:cs="Arial"/>
          <w:sz w:val="24"/>
          <w:szCs w:val="24"/>
        </w:rPr>
        <w:t>magistrada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Pr>
          <w:rFonts w:ascii="Arial" w:hAnsi="Arial" w:cs="Arial"/>
          <w:sz w:val="24"/>
          <w:szCs w:val="24"/>
        </w:rPr>
        <w:t xml:space="preserve">titular de la </w:t>
      </w:r>
      <w:r>
        <w:rPr>
          <w:rFonts w:ascii="Arial" w:hAnsi="Arial" w:cs="Arial"/>
          <w:bCs/>
          <w:color w:val="000000"/>
          <w:sz w:val="24"/>
          <w:szCs w:val="24"/>
        </w:rPr>
        <w:t>Tercera Sala Unitaria de Primera Instancia del Tribunal de lo Contencioso Administrativo y de Cuentas del Poder Judicial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secretario</w:t>
      </w:r>
      <w:r w:rsidRPr="007B6083">
        <w:rPr>
          <w:rFonts w:ascii="Arial" w:hAnsi="Arial" w:cs="Arial"/>
          <w:sz w:val="24"/>
          <w:szCs w:val="24"/>
        </w:rPr>
        <w:t xml:space="preserve"> de </w:t>
      </w:r>
      <w:r>
        <w:rPr>
          <w:rFonts w:ascii="Arial" w:hAnsi="Arial" w:cs="Arial"/>
          <w:sz w:val="24"/>
          <w:szCs w:val="24"/>
        </w:rPr>
        <w:t>acuerdos</w:t>
      </w:r>
      <w:r w:rsidRPr="007B6083">
        <w:rPr>
          <w:rFonts w:ascii="Arial" w:hAnsi="Arial" w:cs="Arial"/>
          <w:sz w:val="24"/>
          <w:szCs w:val="24"/>
        </w:rPr>
        <w:t xml:space="preserve">, que </w:t>
      </w:r>
      <w:bookmarkStart w:id="0" w:name="_GoBack"/>
      <w:bookmarkEnd w:id="0"/>
      <w:r w:rsidRPr="007B6083">
        <w:rPr>
          <w:rFonts w:ascii="Arial" w:hAnsi="Arial" w:cs="Arial"/>
          <w:sz w:val="24"/>
          <w:szCs w:val="24"/>
        </w:rPr>
        <w:t>autoriza y da fe.-</w:t>
      </w:r>
      <w:r>
        <w:rPr>
          <w:rFonts w:ascii="Arial" w:hAnsi="Arial" w:cs="Arial"/>
          <w:sz w:val="24"/>
          <w:szCs w:val="24"/>
        </w:rPr>
        <w:t>- - - - - - - - - - - - - - - - - - - - - - - - - - - - - - - - - - - - - - - - - - - - - - -</w:t>
      </w:r>
    </w:p>
    <w:sectPr w:rsidR="004F04EA" w:rsidRPr="007B6083"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AD4" w:rsidRDefault="002F3AD4" w:rsidP="00DD5D31">
      <w:r>
        <w:separator/>
      </w:r>
    </w:p>
  </w:endnote>
  <w:endnote w:type="continuationSeparator" w:id="0">
    <w:p w:rsidR="002F3AD4" w:rsidRDefault="002F3AD4"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AD4" w:rsidRDefault="002F3AD4" w:rsidP="00DD5D31">
      <w:r>
        <w:separator/>
      </w:r>
    </w:p>
  </w:footnote>
  <w:footnote w:type="continuationSeparator" w:id="0">
    <w:p w:rsidR="002F3AD4" w:rsidRDefault="002F3AD4"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0B6102" w:rsidRPr="000B6102">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F2596">
          <w:rPr>
            <w:rFonts w:ascii="Arial" w:hAnsi="Arial" w:cs="Arial"/>
            <w:sz w:val="18"/>
            <w:szCs w:val="18"/>
          </w:rPr>
          <w:t>1</w:t>
        </w:r>
        <w:r w:rsidR="00CF41AB">
          <w:rPr>
            <w:rFonts w:ascii="Arial" w:hAnsi="Arial" w:cs="Arial"/>
            <w:sz w:val="18"/>
            <w:szCs w:val="18"/>
          </w:rPr>
          <w:t>11</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4C49"/>
    <w:rsid w:val="00026B4C"/>
    <w:rsid w:val="000301CE"/>
    <w:rsid w:val="00030239"/>
    <w:rsid w:val="000356B9"/>
    <w:rsid w:val="000473F0"/>
    <w:rsid w:val="000476EE"/>
    <w:rsid w:val="000547E8"/>
    <w:rsid w:val="00055444"/>
    <w:rsid w:val="0005661F"/>
    <w:rsid w:val="00063839"/>
    <w:rsid w:val="00073199"/>
    <w:rsid w:val="0007394C"/>
    <w:rsid w:val="00082F0F"/>
    <w:rsid w:val="0009281E"/>
    <w:rsid w:val="000949F9"/>
    <w:rsid w:val="000958AC"/>
    <w:rsid w:val="000A171E"/>
    <w:rsid w:val="000A3588"/>
    <w:rsid w:val="000A3760"/>
    <w:rsid w:val="000A78E9"/>
    <w:rsid w:val="000B3E95"/>
    <w:rsid w:val="000B6102"/>
    <w:rsid w:val="000C1378"/>
    <w:rsid w:val="000D5CEE"/>
    <w:rsid w:val="000E334F"/>
    <w:rsid w:val="000E55BC"/>
    <w:rsid w:val="000F14A5"/>
    <w:rsid w:val="000F2596"/>
    <w:rsid w:val="000F2A2C"/>
    <w:rsid w:val="00103661"/>
    <w:rsid w:val="00107B71"/>
    <w:rsid w:val="00111BF6"/>
    <w:rsid w:val="00116804"/>
    <w:rsid w:val="00125AB1"/>
    <w:rsid w:val="00136097"/>
    <w:rsid w:val="0014304F"/>
    <w:rsid w:val="00147F00"/>
    <w:rsid w:val="001512FD"/>
    <w:rsid w:val="00151F09"/>
    <w:rsid w:val="00155AF4"/>
    <w:rsid w:val="0016020F"/>
    <w:rsid w:val="00160A37"/>
    <w:rsid w:val="001649CB"/>
    <w:rsid w:val="00165B9C"/>
    <w:rsid w:val="001666B7"/>
    <w:rsid w:val="00170147"/>
    <w:rsid w:val="001740CC"/>
    <w:rsid w:val="001802BF"/>
    <w:rsid w:val="00183D73"/>
    <w:rsid w:val="001A0D92"/>
    <w:rsid w:val="001A33B6"/>
    <w:rsid w:val="001A5309"/>
    <w:rsid w:val="001A620A"/>
    <w:rsid w:val="001A6DAF"/>
    <w:rsid w:val="001B2205"/>
    <w:rsid w:val="001B604B"/>
    <w:rsid w:val="001C0AB4"/>
    <w:rsid w:val="001C6624"/>
    <w:rsid w:val="001C70D5"/>
    <w:rsid w:val="001E01FB"/>
    <w:rsid w:val="001E0451"/>
    <w:rsid w:val="001E3948"/>
    <w:rsid w:val="001E3F38"/>
    <w:rsid w:val="001F39F9"/>
    <w:rsid w:val="001F651D"/>
    <w:rsid w:val="001F7DF3"/>
    <w:rsid w:val="00205932"/>
    <w:rsid w:val="00212F75"/>
    <w:rsid w:val="002159A2"/>
    <w:rsid w:val="00223F13"/>
    <w:rsid w:val="00231F2F"/>
    <w:rsid w:val="00232004"/>
    <w:rsid w:val="002324D8"/>
    <w:rsid w:val="00237F27"/>
    <w:rsid w:val="0024149C"/>
    <w:rsid w:val="00241B63"/>
    <w:rsid w:val="002431E5"/>
    <w:rsid w:val="00244374"/>
    <w:rsid w:val="00245837"/>
    <w:rsid w:val="00247FA7"/>
    <w:rsid w:val="00266BE5"/>
    <w:rsid w:val="00270E1B"/>
    <w:rsid w:val="0027363E"/>
    <w:rsid w:val="002764F3"/>
    <w:rsid w:val="00283F73"/>
    <w:rsid w:val="002906E2"/>
    <w:rsid w:val="0029174D"/>
    <w:rsid w:val="00295BAD"/>
    <w:rsid w:val="002A0256"/>
    <w:rsid w:val="002A3764"/>
    <w:rsid w:val="002A66CC"/>
    <w:rsid w:val="002B671C"/>
    <w:rsid w:val="002B7F87"/>
    <w:rsid w:val="002C3A7D"/>
    <w:rsid w:val="002E1804"/>
    <w:rsid w:val="002E248A"/>
    <w:rsid w:val="002F3243"/>
    <w:rsid w:val="002F3AD4"/>
    <w:rsid w:val="002F3C38"/>
    <w:rsid w:val="002F7F2D"/>
    <w:rsid w:val="00301C2D"/>
    <w:rsid w:val="003023D4"/>
    <w:rsid w:val="003058E2"/>
    <w:rsid w:val="00310425"/>
    <w:rsid w:val="003114BD"/>
    <w:rsid w:val="00312F73"/>
    <w:rsid w:val="0031573E"/>
    <w:rsid w:val="00316191"/>
    <w:rsid w:val="00317203"/>
    <w:rsid w:val="00317397"/>
    <w:rsid w:val="0032546E"/>
    <w:rsid w:val="00327A40"/>
    <w:rsid w:val="00331E20"/>
    <w:rsid w:val="0033563F"/>
    <w:rsid w:val="003422DF"/>
    <w:rsid w:val="00342680"/>
    <w:rsid w:val="00347C21"/>
    <w:rsid w:val="00355417"/>
    <w:rsid w:val="00364A0F"/>
    <w:rsid w:val="0037407B"/>
    <w:rsid w:val="00380F01"/>
    <w:rsid w:val="003906B7"/>
    <w:rsid w:val="00395E8C"/>
    <w:rsid w:val="00395ECA"/>
    <w:rsid w:val="003970CD"/>
    <w:rsid w:val="003974C8"/>
    <w:rsid w:val="003A1CE4"/>
    <w:rsid w:val="003A4035"/>
    <w:rsid w:val="003C0E2A"/>
    <w:rsid w:val="003C1726"/>
    <w:rsid w:val="003C226E"/>
    <w:rsid w:val="003C685F"/>
    <w:rsid w:val="003D1260"/>
    <w:rsid w:val="003D49C2"/>
    <w:rsid w:val="003D4A10"/>
    <w:rsid w:val="003D4AAA"/>
    <w:rsid w:val="003E09F6"/>
    <w:rsid w:val="003E2AEA"/>
    <w:rsid w:val="00403098"/>
    <w:rsid w:val="004036A7"/>
    <w:rsid w:val="004045BC"/>
    <w:rsid w:val="004048DB"/>
    <w:rsid w:val="0041504C"/>
    <w:rsid w:val="0042187B"/>
    <w:rsid w:val="004233F5"/>
    <w:rsid w:val="00424DA1"/>
    <w:rsid w:val="004260C7"/>
    <w:rsid w:val="00433380"/>
    <w:rsid w:val="0043441C"/>
    <w:rsid w:val="00441189"/>
    <w:rsid w:val="0044434B"/>
    <w:rsid w:val="004523B6"/>
    <w:rsid w:val="00460E46"/>
    <w:rsid w:val="00475178"/>
    <w:rsid w:val="0048200C"/>
    <w:rsid w:val="0048226F"/>
    <w:rsid w:val="0048353C"/>
    <w:rsid w:val="004930CC"/>
    <w:rsid w:val="004A20EC"/>
    <w:rsid w:val="004A399A"/>
    <w:rsid w:val="004A3EA8"/>
    <w:rsid w:val="004A41DB"/>
    <w:rsid w:val="004A6942"/>
    <w:rsid w:val="004A69E8"/>
    <w:rsid w:val="004A7DA9"/>
    <w:rsid w:val="004B1A7A"/>
    <w:rsid w:val="004B4172"/>
    <w:rsid w:val="004C04A0"/>
    <w:rsid w:val="004C43F6"/>
    <w:rsid w:val="004C7979"/>
    <w:rsid w:val="004D021C"/>
    <w:rsid w:val="004D09E1"/>
    <w:rsid w:val="004D20D8"/>
    <w:rsid w:val="004D2CFB"/>
    <w:rsid w:val="004E0C3B"/>
    <w:rsid w:val="004E4F17"/>
    <w:rsid w:val="004F04EA"/>
    <w:rsid w:val="005015CD"/>
    <w:rsid w:val="00504276"/>
    <w:rsid w:val="00511618"/>
    <w:rsid w:val="00515B3F"/>
    <w:rsid w:val="00515F69"/>
    <w:rsid w:val="00516D1F"/>
    <w:rsid w:val="00522861"/>
    <w:rsid w:val="0052545E"/>
    <w:rsid w:val="00530E85"/>
    <w:rsid w:val="0053351F"/>
    <w:rsid w:val="0053518A"/>
    <w:rsid w:val="0053794B"/>
    <w:rsid w:val="0054051A"/>
    <w:rsid w:val="00543D12"/>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B0186"/>
    <w:rsid w:val="005B118C"/>
    <w:rsid w:val="005B3140"/>
    <w:rsid w:val="005B37E7"/>
    <w:rsid w:val="005C07B2"/>
    <w:rsid w:val="005C0976"/>
    <w:rsid w:val="005C6ABD"/>
    <w:rsid w:val="005D34AE"/>
    <w:rsid w:val="005D380E"/>
    <w:rsid w:val="005D736F"/>
    <w:rsid w:val="005D7B7D"/>
    <w:rsid w:val="005E2BA2"/>
    <w:rsid w:val="005E5524"/>
    <w:rsid w:val="005E7398"/>
    <w:rsid w:val="005F0D67"/>
    <w:rsid w:val="00611E12"/>
    <w:rsid w:val="00611EB7"/>
    <w:rsid w:val="00614F21"/>
    <w:rsid w:val="0062007F"/>
    <w:rsid w:val="00620734"/>
    <w:rsid w:val="00620D6C"/>
    <w:rsid w:val="00627597"/>
    <w:rsid w:val="0064087C"/>
    <w:rsid w:val="00641A6B"/>
    <w:rsid w:val="0064388E"/>
    <w:rsid w:val="006553E2"/>
    <w:rsid w:val="0066220A"/>
    <w:rsid w:val="006641AF"/>
    <w:rsid w:val="00670DBA"/>
    <w:rsid w:val="00670EE8"/>
    <w:rsid w:val="0067152F"/>
    <w:rsid w:val="00672455"/>
    <w:rsid w:val="006755D4"/>
    <w:rsid w:val="00675EC7"/>
    <w:rsid w:val="0067615F"/>
    <w:rsid w:val="00680A12"/>
    <w:rsid w:val="00682A0C"/>
    <w:rsid w:val="006948DA"/>
    <w:rsid w:val="006A023C"/>
    <w:rsid w:val="006A03AA"/>
    <w:rsid w:val="006A23C4"/>
    <w:rsid w:val="006A4C68"/>
    <w:rsid w:val="006A667E"/>
    <w:rsid w:val="006B5B2C"/>
    <w:rsid w:val="006B6CB5"/>
    <w:rsid w:val="006C32AA"/>
    <w:rsid w:val="006C451E"/>
    <w:rsid w:val="006C73A2"/>
    <w:rsid w:val="006D12EE"/>
    <w:rsid w:val="006D3448"/>
    <w:rsid w:val="006D7247"/>
    <w:rsid w:val="006E27AC"/>
    <w:rsid w:val="006E70D9"/>
    <w:rsid w:val="006F10DE"/>
    <w:rsid w:val="006F1AA2"/>
    <w:rsid w:val="006F20E5"/>
    <w:rsid w:val="006F2B12"/>
    <w:rsid w:val="006F63D2"/>
    <w:rsid w:val="006F6DEB"/>
    <w:rsid w:val="007049C9"/>
    <w:rsid w:val="00707F8A"/>
    <w:rsid w:val="007104FD"/>
    <w:rsid w:val="00713B4B"/>
    <w:rsid w:val="00715C4B"/>
    <w:rsid w:val="007212B7"/>
    <w:rsid w:val="00721AAB"/>
    <w:rsid w:val="0073143D"/>
    <w:rsid w:val="00732D7D"/>
    <w:rsid w:val="0073521D"/>
    <w:rsid w:val="007367FD"/>
    <w:rsid w:val="00741F4F"/>
    <w:rsid w:val="00752255"/>
    <w:rsid w:val="00753E6C"/>
    <w:rsid w:val="007546DF"/>
    <w:rsid w:val="00755BF9"/>
    <w:rsid w:val="007624FD"/>
    <w:rsid w:val="00770405"/>
    <w:rsid w:val="007761E7"/>
    <w:rsid w:val="007815EA"/>
    <w:rsid w:val="0078377B"/>
    <w:rsid w:val="00785661"/>
    <w:rsid w:val="007908F0"/>
    <w:rsid w:val="007943F4"/>
    <w:rsid w:val="00795B16"/>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41A3"/>
    <w:rsid w:val="007E7637"/>
    <w:rsid w:val="007F3316"/>
    <w:rsid w:val="007F3DF6"/>
    <w:rsid w:val="00805B55"/>
    <w:rsid w:val="00805BCC"/>
    <w:rsid w:val="00813B0D"/>
    <w:rsid w:val="00816487"/>
    <w:rsid w:val="00823229"/>
    <w:rsid w:val="008253C8"/>
    <w:rsid w:val="00825CAD"/>
    <w:rsid w:val="00826139"/>
    <w:rsid w:val="00832594"/>
    <w:rsid w:val="00832A5C"/>
    <w:rsid w:val="00834A24"/>
    <w:rsid w:val="0084693B"/>
    <w:rsid w:val="008633E5"/>
    <w:rsid w:val="0086385F"/>
    <w:rsid w:val="00863C57"/>
    <w:rsid w:val="008733E3"/>
    <w:rsid w:val="00873F2B"/>
    <w:rsid w:val="00873FDA"/>
    <w:rsid w:val="00874A3B"/>
    <w:rsid w:val="00880A48"/>
    <w:rsid w:val="00884649"/>
    <w:rsid w:val="00887608"/>
    <w:rsid w:val="00890913"/>
    <w:rsid w:val="00890BC0"/>
    <w:rsid w:val="00896343"/>
    <w:rsid w:val="008A5490"/>
    <w:rsid w:val="008B10D3"/>
    <w:rsid w:val="008B20C0"/>
    <w:rsid w:val="008B4232"/>
    <w:rsid w:val="008B5C80"/>
    <w:rsid w:val="008B71C9"/>
    <w:rsid w:val="008C2AE4"/>
    <w:rsid w:val="008C2C7A"/>
    <w:rsid w:val="008D7D5B"/>
    <w:rsid w:val="008D7FD3"/>
    <w:rsid w:val="008E7278"/>
    <w:rsid w:val="008F224B"/>
    <w:rsid w:val="00903A6D"/>
    <w:rsid w:val="00911B10"/>
    <w:rsid w:val="00915547"/>
    <w:rsid w:val="00927E72"/>
    <w:rsid w:val="00930A36"/>
    <w:rsid w:val="00932AE5"/>
    <w:rsid w:val="0093314E"/>
    <w:rsid w:val="009341E2"/>
    <w:rsid w:val="00934345"/>
    <w:rsid w:val="009344F2"/>
    <w:rsid w:val="009401E1"/>
    <w:rsid w:val="00941348"/>
    <w:rsid w:val="0094235D"/>
    <w:rsid w:val="00947920"/>
    <w:rsid w:val="009507DF"/>
    <w:rsid w:val="00953FB7"/>
    <w:rsid w:val="00955F8A"/>
    <w:rsid w:val="00961E6B"/>
    <w:rsid w:val="00962025"/>
    <w:rsid w:val="00964805"/>
    <w:rsid w:val="00964BC2"/>
    <w:rsid w:val="009724E0"/>
    <w:rsid w:val="00976DBD"/>
    <w:rsid w:val="00977577"/>
    <w:rsid w:val="00977D5E"/>
    <w:rsid w:val="00984B42"/>
    <w:rsid w:val="00986636"/>
    <w:rsid w:val="009A20BC"/>
    <w:rsid w:val="009A3627"/>
    <w:rsid w:val="009B05A3"/>
    <w:rsid w:val="009C11B2"/>
    <w:rsid w:val="009C39E1"/>
    <w:rsid w:val="009D0C4F"/>
    <w:rsid w:val="009D2B84"/>
    <w:rsid w:val="009D30EC"/>
    <w:rsid w:val="009E1320"/>
    <w:rsid w:val="009E4E1D"/>
    <w:rsid w:val="009F0A4B"/>
    <w:rsid w:val="009F15F1"/>
    <w:rsid w:val="009F53DB"/>
    <w:rsid w:val="009F5767"/>
    <w:rsid w:val="009F750E"/>
    <w:rsid w:val="00A07995"/>
    <w:rsid w:val="00A1223D"/>
    <w:rsid w:val="00A22CCA"/>
    <w:rsid w:val="00A26AF2"/>
    <w:rsid w:val="00A30862"/>
    <w:rsid w:val="00A34219"/>
    <w:rsid w:val="00A3565E"/>
    <w:rsid w:val="00A35B2B"/>
    <w:rsid w:val="00A40713"/>
    <w:rsid w:val="00A40E47"/>
    <w:rsid w:val="00A44630"/>
    <w:rsid w:val="00A47806"/>
    <w:rsid w:val="00A50D52"/>
    <w:rsid w:val="00A60C23"/>
    <w:rsid w:val="00A633AC"/>
    <w:rsid w:val="00A80E93"/>
    <w:rsid w:val="00A85C72"/>
    <w:rsid w:val="00A95AC4"/>
    <w:rsid w:val="00A96A90"/>
    <w:rsid w:val="00AA445B"/>
    <w:rsid w:val="00AA508A"/>
    <w:rsid w:val="00AB1839"/>
    <w:rsid w:val="00AC4762"/>
    <w:rsid w:val="00AC7CD1"/>
    <w:rsid w:val="00AD002E"/>
    <w:rsid w:val="00AD168D"/>
    <w:rsid w:val="00AD3569"/>
    <w:rsid w:val="00AD3DD1"/>
    <w:rsid w:val="00AD69BB"/>
    <w:rsid w:val="00AE010A"/>
    <w:rsid w:val="00AE076A"/>
    <w:rsid w:val="00AE3BEB"/>
    <w:rsid w:val="00AE4415"/>
    <w:rsid w:val="00AE5C86"/>
    <w:rsid w:val="00AE61B2"/>
    <w:rsid w:val="00AE6C60"/>
    <w:rsid w:val="00AF2D5A"/>
    <w:rsid w:val="00AF7FC9"/>
    <w:rsid w:val="00B032AD"/>
    <w:rsid w:val="00B0610E"/>
    <w:rsid w:val="00B0645B"/>
    <w:rsid w:val="00B124F8"/>
    <w:rsid w:val="00B136E6"/>
    <w:rsid w:val="00B13DAA"/>
    <w:rsid w:val="00B17F30"/>
    <w:rsid w:val="00B237AA"/>
    <w:rsid w:val="00B26520"/>
    <w:rsid w:val="00B44AC7"/>
    <w:rsid w:val="00B461D1"/>
    <w:rsid w:val="00B50795"/>
    <w:rsid w:val="00B563D7"/>
    <w:rsid w:val="00B6595F"/>
    <w:rsid w:val="00B73C43"/>
    <w:rsid w:val="00B8086C"/>
    <w:rsid w:val="00B81216"/>
    <w:rsid w:val="00B84FA5"/>
    <w:rsid w:val="00B879F7"/>
    <w:rsid w:val="00B911F7"/>
    <w:rsid w:val="00B9449B"/>
    <w:rsid w:val="00B964FF"/>
    <w:rsid w:val="00BA0970"/>
    <w:rsid w:val="00BA6915"/>
    <w:rsid w:val="00BA7F97"/>
    <w:rsid w:val="00BC04F1"/>
    <w:rsid w:val="00BD0923"/>
    <w:rsid w:val="00BD53C3"/>
    <w:rsid w:val="00BE522C"/>
    <w:rsid w:val="00BE7CC3"/>
    <w:rsid w:val="00BF03C8"/>
    <w:rsid w:val="00BF0ACD"/>
    <w:rsid w:val="00BF456B"/>
    <w:rsid w:val="00BF4F3D"/>
    <w:rsid w:val="00C00F42"/>
    <w:rsid w:val="00C07F38"/>
    <w:rsid w:val="00C108C5"/>
    <w:rsid w:val="00C1103F"/>
    <w:rsid w:val="00C323DF"/>
    <w:rsid w:val="00C3280C"/>
    <w:rsid w:val="00C36DEF"/>
    <w:rsid w:val="00C4293B"/>
    <w:rsid w:val="00C60804"/>
    <w:rsid w:val="00C62E9D"/>
    <w:rsid w:val="00C720AF"/>
    <w:rsid w:val="00C77C82"/>
    <w:rsid w:val="00C810F7"/>
    <w:rsid w:val="00C86460"/>
    <w:rsid w:val="00C86E35"/>
    <w:rsid w:val="00C86EEB"/>
    <w:rsid w:val="00C938F1"/>
    <w:rsid w:val="00CA2E71"/>
    <w:rsid w:val="00CA35A1"/>
    <w:rsid w:val="00CB453C"/>
    <w:rsid w:val="00CB56DE"/>
    <w:rsid w:val="00CB7978"/>
    <w:rsid w:val="00CC5CA7"/>
    <w:rsid w:val="00CD5A4D"/>
    <w:rsid w:val="00CE5157"/>
    <w:rsid w:val="00CE75A8"/>
    <w:rsid w:val="00CF2FA4"/>
    <w:rsid w:val="00CF41AB"/>
    <w:rsid w:val="00CF63C5"/>
    <w:rsid w:val="00D00017"/>
    <w:rsid w:val="00D021BC"/>
    <w:rsid w:val="00D02372"/>
    <w:rsid w:val="00D06A0E"/>
    <w:rsid w:val="00D0772C"/>
    <w:rsid w:val="00D1069A"/>
    <w:rsid w:val="00D12076"/>
    <w:rsid w:val="00D150C6"/>
    <w:rsid w:val="00D308B2"/>
    <w:rsid w:val="00D32288"/>
    <w:rsid w:val="00D32461"/>
    <w:rsid w:val="00D340EA"/>
    <w:rsid w:val="00D360D6"/>
    <w:rsid w:val="00D36783"/>
    <w:rsid w:val="00D441DB"/>
    <w:rsid w:val="00D45332"/>
    <w:rsid w:val="00D55B75"/>
    <w:rsid w:val="00D56A4D"/>
    <w:rsid w:val="00D6032F"/>
    <w:rsid w:val="00D62FD0"/>
    <w:rsid w:val="00D70C31"/>
    <w:rsid w:val="00D72554"/>
    <w:rsid w:val="00D7533B"/>
    <w:rsid w:val="00D75347"/>
    <w:rsid w:val="00D774DE"/>
    <w:rsid w:val="00D7799B"/>
    <w:rsid w:val="00D93DE7"/>
    <w:rsid w:val="00D94CF3"/>
    <w:rsid w:val="00DA007E"/>
    <w:rsid w:val="00DA082B"/>
    <w:rsid w:val="00DA0D02"/>
    <w:rsid w:val="00DA2866"/>
    <w:rsid w:val="00DA536F"/>
    <w:rsid w:val="00DB7F00"/>
    <w:rsid w:val="00DC225F"/>
    <w:rsid w:val="00DC5F59"/>
    <w:rsid w:val="00DD2CA5"/>
    <w:rsid w:val="00DD3BB1"/>
    <w:rsid w:val="00DD4385"/>
    <w:rsid w:val="00DD5D31"/>
    <w:rsid w:val="00DE2995"/>
    <w:rsid w:val="00DE3A1A"/>
    <w:rsid w:val="00DF3640"/>
    <w:rsid w:val="00DF55E5"/>
    <w:rsid w:val="00E01353"/>
    <w:rsid w:val="00E0795E"/>
    <w:rsid w:val="00E1058C"/>
    <w:rsid w:val="00E1140D"/>
    <w:rsid w:val="00E14DAD"/>
    <w:rsid w:val="00E163C7"/>
    <w:rsid w:val="00E171EE"/>
    <w:rsid w:val="00E25CFB"/>
    <w:rsid w:val="00E43BF6"/>
    <w:rsid w:val="00E443EA"/>
    <w:rsid w:val="00E515F7"/>
    <w:rsid w:val="00E54188"/>
    <w:rsid w:val="00E55533"/>
    <w:rsid w:val="00E56565"/>
    <w:rsid w:val="00E6060B"/>
    <w:rsid w:val="00E609F1"/>
    <w:rsid w:val="00E637A4"/>
    <w:rsid w:val="00E76F83"/>
    <w:rsid w:val="00E77E04"/>
    <w:rsid w:val="00E8739C"/>
    <w:rsid w:val="00E922FC"/>
    <w:rsid w:val="00E93682"/>
    <w:rsid w:val="00E9765E"/>
    <w:rsid w:val="00EA6E3B"/>
    <w:rsid w:val="00EA7F0E"/>
    <w:rsid w:val="00EB0F18"/>
    <w:rsid w:val="00EB1A29"/>
    <w:rsid w:val="00EB3BCF"/>
    <w:rsid w:val="00EC3943"/>
    <w:rsid w:val="00EC4B88"/>
    <w:rsid w:val="00ED4180"/>
    <w:rsid w:val="00ED5D82"/>
    <w:rsid w:val="00EE087A"/>
    <w:rsid w:val="00EE22BA"/>
    <w:rsid w:val="00EF4440"/>
    <w:rsid w:val="00EF72BA"/>
    <w:rsid w:val="00EF7896"/>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071"/>
    <w:rsid w:val="00F61AD0"/>
    <w:rsid w:val="00F66607"/>
    <w:rsid w:val="00F66C0C"/>
    <w:rsid w:val="00F67F5B"/>
    <w:rsid w:val="00F729B8"/>
    <w:rsid w:val="00F73B65"/>
    <w:rsid w:val="00F73BD1"/>
    <w:rsid w:val="00F826B5"/>
    <w:rsid w:val="00F83A45"/>
    <w:rsid w:val="00F84D9E"/>
    <w:rsid w:val="00F92456"/>
    <w:rsid w:val="00F92D37"/>
    <w:rsid w:val="00FA1612"/>
    <w:rsid w:val="00FA27E2"/>
    <w:rsid w:val="00FA3FF4"/>
    <w:rsid w:val="00FB1F62"/>
    <w:rsid w:val="00FC1BB4"/>
    <w:rsid w:val="00FC2BDE"/>
    <w:rsid w:val="00FC76DC"/>
    <w:rsid w:val="00FC7F25"/>
    <w:rsid w:val="00FD0A84"/>
    <w:rsid w:val="00FD1569"/>
    <w:rsid w:val="00FD7664"/>
    <w:rsid w:val="00FE111F"/>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A9EF3-6033-42B4-9242-9B7A2E2B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2592</Words>
  <Characters>14258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19</cp:revision>
  <cp:lastPrinted>2018-02-16T18:24:00Z</cp:lastPrinted>
  <dcterms:created xsi:type="dcterms:W3CDTF">2018-02-02T19:24:00Z</dcterms:created>
  <dcterms:modified xsi:type="dcterms:W3CDTF">2018-12-11T16:05:00Z</dcterms:modified>
</cp:coreProperties>
</file>