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D8" w:rsidRDefault="00AF32D8" w:rsidP="00AF32D8">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F32D8" w:rsidRDefault="00AF32D8" w:rsidP="00AF32D8">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0101/2018</w:t>
      </w:r>
    </w:p>
    <w:p w:rsidR="00AF32D8" w:rsidRDefault="00AF32D8" w:rsidP="00AF32D8">
      <w:pPr>
        <w:spacing w:line="240" w:lineRule="auto"/>
        <w:ind w:left="2124"/>
        <w:jc w:val="both"/>
        <w:rPr>
          <w:rFonts w:ascii="Arial" w:hAnsi="Arial" w:cs="Arial"/>
          <w:b/>
          <w:sz w:val="26"/>
          <w:szCs w:val="26"/>
        </w:rPr>
      </w:pPr>
      <w:r>
        <w:rPr>
          <w:rFonts w:ascii="Arial" w:hAnsi="Arial" w:cs="Arial"/>
          <w:b/>
          <w:sz w:val="26"/>
          <w:szCs w:val="26"/>
        </w:rPr>
        <w:t>CUADERNO DE SUSPENSIÓN:</w:t>
      </w:r>
      <w:r>
        <w:rPr>
          <w:rFonts w:ascii="Arial" w:hAnsi="Arial" w:cs="Arial"/>
          <w:b/>
          <w:sz w:val="26"/>
          <w:szCs w:val="26"/>
        </w:rPr>
        <w:tab/>
        <w:t>0501/2016 DE LA SEXTA SALA UNITARIA DE PRIMERA INSTANCIA</w:t>
      </w:r>
    </w:p>
    <w:p w:rsidR="00AF32D8" w:rsidRDefault="00AF32D8" w:rsidP="00AF32D8">
      <w:pPr>
        <w:spacing w:line="240" w:lineRule="auto"/>
        <w:ind w:left="2124"/>
        <w:jc w:val="both"/>
        <w:rPr>
          <w:rFonts w:ascii="Arial" w:hAnsi="Arial" w:cs="Arial"/>
          <w:b/>
          <w:sz w:val="26"/>
          <w:szCs w:val="26"/>
        </w:rPr>
      </w:pPr>
      <w:r>
        <w:rPr>
          <w:rFonts w:ascii="Arial" w:hAnsi="Arial" w:cs="Arial"/>
          <w:b/>
          <w:sz w:val="26"/>
          <w:szCs w:val="26"/>
        </w:rPr>
        <w:t>PONENTE: MAGISTRADA MARIA ELENA VILLA DE JARQUIN.</w:t>
      </w:r>
    </w:p>
    <w:p w:rsidR="00AF32D8" w:rsidRDefault="00AF32D8" w:rsidP="00AF32D8">
      <w:pPr>
        <w:spacing w:line="240" w:lineRule="auto"/>
        <w:ind w:left="2124"/>
        <w:jc w:val="both"/>
        <w:rPr>
          <w:rFonts w:ascii="Arial" w:hAnsi="Arial" w:cs="Arial"/>
          <w:b/>
          <w:sz w:val="26"/>
          <w:szCs w:val="26"/>
        </w:rPr>
      </w:pPr>
    </w:p>
    <w:p w:rsidR="00AF32D8" w:rsidRDefault="00AF32D8" w:rsidP="00AF32D8">
      <w:pPr>
        <w:spacing w:before="240" w:line="360" w:lineRule="auto"/>
        <w:jc w:val="both"/>
        <w:rPr>
          <w:rFonts w:ascii="Arial" w:hAnsi="Arial" w:cs="Arial"/>
          <w:b/>
          <w:sz w:val="26"/>
          <w:szCs w:val="26"/>
        </w:rPr>
      </w:pPr>
      <w:r>
        <w:rPr>
          <w:rFonts w:ascii="Arial" w:hAnsi="Arial" w:cs="Arial"/>
          <w:b/>
          <w:sz w:val="26"/>
          <w:szCs w:val="26"/>
        </w:rPr>
        <w:t>OAXACA DE JUÁREZ, OAXACA, SEIS DE DICIEMBRE DE DOS MIL DIECIOCHO.</w:t>
      </w:r>
    </w:p>
    <w:p w:rsidR="00AF32D8" w:rsidRDefault="00AF32D8" w:rsidP="00AF32D8">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0101/2018</w:t>
      </w:r>
      <w:r>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ALEJANDRO VILLANUEVA LÓPEZ, ENCARGADO DEL DESPACHO DE LA SECRETARIA DE VIALIDAD Y TRANSPORTE DEL ESTADO DE OAXACA</w:t>
      </w:r>
      <w:r>
        <w:rPr>
          <w:rFonts w:ascii="Arial" w:hAnsi="Arial" w:cs="Arial"/>
          <w:sz w:val="26"/>
          <w:szCs w:val="26"/>
        </w:rPr>
        <w:t xml:space="preserve">, en contra de la resolución de siete de marzo de dos mil dieciocho, dictada en el Cuaderno de Suspensión </w:t>
      </w:r>
      <w:r>
        <w:rPr>
          <w:rFonts w:ascii="Arial" w:hAnsi="Arial" w:cs="Arial"/>
          <w:b/>
          <w:sz w:val="26"/>
          <w:szCs w:val="26"/>
        </w:rPr>
        <w:t xml:space="preserve">0501/2016 </w:t>
      </w:r>
      <w:r>
        <w:rPr>
          <w:rFonts w:ascii="Arial" w:hAnsi="Arial" w:cs="Arial"/>
          <w:sz w:val="26"/>
          <w:szCs w:val="26"/>
        </w:rPr>
        <w:t xml:space="preserve">de la Sexta Sala Unitaria de Primera Instancia, relativo al juicio de nulidad promovido por </w:t>
      </w:r>
      <w:r w:rsidR="00B7510F">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ESTADO DE OAXACA, JEFE OPERATIVO DE TRÁNSITO  EN LA VILLA DE ETLA Y DIRECTOR GENERAL DE LA POLICIA VIAL ESTATAL</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se admite. En consecuencia, se procede a dictar resolución en los siguientes términos:</w:t>
      </w:r>
    </w:p>
    <w:p w:rsidR="00AF32D8" w:rsidRDefault="00AF32D8" w:rsidP="00AF32D8">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F32D8" w:rsidRDefault="00AF32D8" w:rsidP="00AF32D8">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Inconforme con la resolución de siete de marzo de dos mil dieciocho, dictada por la Sexta Sala Unitaria de Primera Instancia,</w:t>
      </w:r>
      <w:r>
        <w:rPr>
          <w:rFonts w:ascii="Arial" w:hAnsi="Arial" w:cs="Arial"/>
          <w:b/>
          <w:sz w:val="26"/>
          <w:szCs w:val="26"/>
        </w:rPr>
        <w:t xml:space="preserve"> ALEJANDRO VILLANUEVA LÓPEZ, ENCARGADO DEL DESPACHO DE LA SECRETARIA DE VIALIDAD Y TRANSPORTE DEL ESTADO DE OAXACA</w:t>
      </w:r>
      <w:r>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AF32D8" w:rsidRDefault="00AF32D8" w:rsidP="00AF32D8">
      <w:pPr>
        <w:spacing w:after="0" w:line="360" w:lineRule="auto"/>
        <w:ind w:firstLine="708"/>
        <w:jc w:val="both"/>
        <w:rPr>
          <w:rFonts w:ascii="Arial" w:hAnsi="Arial" w:cs="Arial"/>
          <w:bCs/>
          <w:sz w:val="26"/>
          <w:szCs w:val="26"/>
        </w:rPr>
      </w:pPr>
      <w:r>
        <w:rPr>
          <w:rFonts w:ascii="Arial" w:hAnsi="Arial" w:cs="Arial"/>
          <w:b/>
          <w:bCs/>
          <w:sz w:val="26"/>
          <w:szCs w:val="26"/>
          <w:lang w:val="es-MX"/>
        </w:rPr>
        <w:t xml:space="preserve">SEGUNDO. </w:t>
      </w:r>
      <w:r>
        <w:rPr>
          <w:rFonts w:ascii="Arial" w:hAnsi="Arial" w:cs="Arial"/>
          <w:bCs/>
          <w:sz w:val="26"/>
          <w:szCs w:val="26"/>
        </w:rPr>
        <w:t>Los puntos resolutivos de la resolución recurrida son los siguientes:</w:t>
      </w:r>
    </w:p>
    <w:p w:rsidR="00AF32D8" w:rsidRDefault="00AF32D8" w:rsidP="00AF32D8">
      <w:pPr>
        <w:autoSpaceDE w:val="0"/>
        <w:autoSpaceDN w:val="0"/>
        <w:adjustRightInd w:val="0"/>
        <w:spacing w:before="240" w:line="360" w:lineRule="auto"/>
        <w:ind w:left="1134" w:right="495"/>
        <w:jc w:val="both"/>
        <w:rPr>
          <w:rFonts w:ascii="Arial" w:hAnsi="Arial" w:cs="Arial"/>
          <w:bCs/>
          <w:iCs/>
        </w:rPr>
      </w:pPr>
      <w:r>
        <w:rPr>
          <w:rFonts w:ascii="Arial" w:hAnsi="Arial" w:cs="Arial"/>
          <w:bCs/>
          <w:iCs/>
          <w:sz w:val="24"/>
          <w:szCs w:val="24"/>
        </w:rPr>
        <w:lastRenderedPageBreak/>
        <w:t xml:space="preserve"> </w:t>
      </w:r>
      <w:r>
        <w:rPr>
          <w:rFonts w:ascii="Arial" w:hAnsi="Arial" w:cs="Arial"/>
          <w:b/>
          <w:bCs/>
          <w:iCs/>
        </w:rPr>
        <w:t>“PRIMERO</w:t>
      </w:r>
      <w:r>
        <w:rPr>
          <w:rFonts w:ascii="Arial" w:hAnsi="Arial" w:cs="Arial"/>
          <w:bCs/>
          <w:iCs/>
        </w:rPr>
        <w:t xml:space="preserve">. </w:t>
      </w:r>
      <w:r>
        <w:rPr>
          <w:rFonts w:ascii="Arial" w:hAnsi="Arial" w:cs="Arial"/>
          <w:b/>
          <w:bCs/>
          <w:iCs/>
        </w:rPr>
        <w:t>SE CONCEDE LA SUSPENSIÓN DEFINITIVA</w:t>
      </w:r>
      <w:r>
        <w:rPr>
          <w:rFonts w:ascii="Arial" w:hAnsi="Arial" w:cs="Arial"/>
          <w:bCs/>
          <w:iCs/>
        </w:rPr>
        <w:t xml:space="preserve">, solicitada por </w:t>
      </w:r>
      <w:r w:rsidR="00B7510F">
        <w:rPr>
          <w:rFonts w:ascii="Arial" w:hAnsi="Arial" w:cs="Arial"/>
          <w:b/>
          <w:bCs/>
          <w:iCs/>
        </w:rPr>
        <w:t>*********</w:t>
      </w:r>
      <w:r>
        <w:rPr>
          <w:rFonts w:ascii="Arial" w:hAnsi="Arial" w:cs="Arial"/>
          <w:bCs/>
          <w:iCs/>
        </w:rPr>
        <w:t xml:space="preserve"> por las razones señaladas en el considerando tercero de esta resolución. </w:t>
      </w:r>
    </w:p>
    <w:p w:rsidR="00AF32D8" w:rsidRDefault="00AF32D8" w:rsidP="00AF32D8">
      <w:pPr>
        <w:autoSpaceDE w:val="0"/>
        <w:autoSpaceDN w:val="0"/>
        <w:adjustRightInd w:val="0"/>
        <w:spacing w:before="240" w:line="360" w:lineRule="auto"/>
        <w:ind w:left="1134" w:right="495"/>
        <w:jc w:val="both"/>
        <w:rPr>
          <w:rFonts w:ascii="Arial" w:hAnsi="Arial" w:cs="Arial"/>
          <w:bCs/>
          <w:iCs/>
        </w:rPr>
      </w:pPr>
      <w:r>
        <w:rPr>
          <w:rFonts w:ascii="Arial" w:hAnsi="Arial" w:cs="Arial"/>
          <w:b/>
          <w:bCs/>
          <w:iCs/>
        </w:rPr>
        <w:t>SEGUNDO</w:t>
      </w:r>
      <w:r>
        <w:rPr>
          <w:rFonts w:ascii="Arial" w:hAnsi="Arial" w:cs="Arial"/>
          <w:bCs/>
          <w:iCs/>
        </w:rPr>
        <w:t xml:space="preserve">. </w:t>
      </w:r>
      <w:r>
        <w:rPr>
          <w:rFonts w:ascii="Arial" w:hAnsi="Arial" w:cs="Arial"/>
          <w:b/>
          <w:bCs/>
          <w:iCs/>
        </w:rPr>
        <w:t>NOTIFIQUESE PERSONALMENTE AL ACTOR Y POR OFICIO A LAS AUTORIDADES DEMANDADAS</w:t>
      </w:r>
      <w:r>
        <w:rPr>
          <w:rFonts w:ascii="Arial" w:hAnsi="Arial" w:cs="Arial"/>
          <w:bCs/>
          <w:iCs/>
        </w:rPr>
        <w:t xml:space="preserve">, en términos del artículo 142, fracción I y 143, fracción I, II de la ley de Justicia Administrativa para el Estado de Oaxaca,- </w:t>
      </w:r>
      <w:r>
        <w:rPr>
          <w:rFonts w:ascii="Arial" w:hAnsi="Arial" w:cs="Arial"/>
          <w:b/>
          <w:bCs/>
          <w:iCs/>
        </w:rPr>
        <w:t>CÚMPLASE.</w:t>
      </w:r>
      <w:r>
        <w:rPr>
          <w:rFonts w:ascii="Arial" w:hAnsi="Arial" w:cs="Arial"/>
          <w:bCs/>
          <w:iCs/>
        </w:rPr>
        <w:t xml:space="preserve"> …”</w:t>
      </w:r>
    </w:p>
    <w:p w:rsidR="00AF32D8" w:rsidRDefault="00AF32D8" w:rsidP="00AF32D8">
      <w:pPr>
        <w:tabs>
          <w:tab w:val="left" w:pos="2460"/>
          <w:tab w:val="center" w:pos="4253"/>
        </w:tabs>
        <w:spacing w:line="360" w:lineRule="auto"/>
        <w:ind w:left="851" w:right="616"/>
        <w:jc w:val="center"/>
        <w:rPr>
          <w:rFonts w:ascii="Arial" w:hAnsi="Arial" w:cs="Arial"/>
          <w:b/>
          <w:bCs/>
          <w:sz w:val="26"/>
          <w:szCs w:val="26"/>
        </w:rPr>
      </w:pPr>
      <w:r>
        <w:rPr>
          <w:rFonts w:ascii="Arial" w:hAnsi="Arial" w:cs="Arial"/>
          <w:b/>
          <w:bCs/>
          <w:sz w:val="26"/>
          <w:szCs w:val="26"/>
        </w:rPr>
        <w:t>C O N S I D E R A N D O:</w:t>
      </w:r>
    </w:p>
    <w:p w:rsidR="00AF32D8" w:rsidRDefault="00AF32D8" w:rsidP="00AF32D8">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resolución de siete de marzo de dos mil dieciocho, dictado por la Sexta Sala Unitaria de Primera Instancia, en el cuaderno de suspensión  </w:t>
      </w:r>
      <w:r>
        <w:rPr>
          <w:rFonts w:ascii="Arial" w:hAnsi="Arial" w:cs="Arial"/>
          <w:b/>
          <w:bCs/>
          <w:iCs/>
          <w:sz w:val="26"/>
          <w:szCs w:val="26"/>
        </w:rPr>
        <w:t>0501/2016.</w:t>
      </w:r>
    </w:p>
    <w:p w:rsidR="00AF32D8" w:rsidRDefault="00AF32D8" w:rsidP="00AF32D8">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AF32D8" w:rsidRDefault="00AF32D8" w:rsidP="00AF32D8">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Arial" w:hAnsi="Arial" w:cs="Arial"/>
          <w:b/>
          <w:bCs/>
          <w:color w:val="000000"/>
          <w:sz w:val="26"/>
          <w:szCs w:val="26"/>
          <w:lang w:val="es-MX"/>
        </w:rPr>
        <w:t>TERCERO</w:t>
      </w:r>
      <w:r>
        <w:rPr>
          <w:rFonts w:ascii="Arial" w:eastAsiaTheme="minorEastAsia" w:hAnsi="Arial" w:cs="Arial"/>
          <w:bCs/>
          <w:color w:val="000000"/>
          <w:sz w:val="26"/>
          <w:szCs w:val="26"/>
          <w:lang w:val="es-MX" w:eastAsia="es-MX"/>
        </w:rPr>
        <w:t xml:space="preserve"> Del escrito de inconformidad se desprende que el revisionista manifiesta inconformarse en contra de la resolución de siete de marzo de dos mil dieciocho, en el que la primera instancia concedió la suspensión definitiva al actor, al estimar que no se afecta el interés social y no  se contravienen disipaciones de orden público.</w:t>
      </w:r>
    </w:p>
    <w:p w:rsidR="00AF32D8" w:rsidRDefault="00AF32D8" w:rsidP="00AF32D8">
      <w:pPr>
        <w:widowControl w:val="0"/>
        <w:spacing w:before="240" w:after="0" w:line="360" w:lineRule="auto"/>
        <w:ind w:right="18"/>
        <w:jc w:val="both"/>
        <w:rPr>
          <w:rFonts w:ascii="Arial" w:eastAsiaTheme="minorEastAsia" w:hAnsi="Arial" w:cs="Arial"/>
          <w:bCs/>
          <w:color w:val="000000"/>
          <w:sz w:val="26"/>
          <w:szCs w:val="26"/>
          <w:lang w:val="es-MX" w:eastAsia="es-MX"/>
        </w:rPr>
      </w:pPr>
      <w:r>
        <w:rPr>
          <w:rFonts w:ascii="Arial" w:eastAsiaTheme="minorEastAsia" w:hAnsi="Arial" w:cs="Arial"/>
          <w:bCs/>
          <w:color w:val="000000"/>
          <w:sz w:val="26"/>
          <w:szCs w:val="26"/>
          <w:lang w:val="es-MX" w:eastAsia="es-MX"/>
        </w:rPr>
        <w:tab/>
        <w:t>Previo al pronunciamiento de la presente resolución es pertinente indicar lo siguiente:</w:t>
      </w:r>
    </w:p>
    <w:p w:rsidR="00AF32D8" w:rsidRDefault="00B7510F" w:rsidP="00AF32D8">
      <w:pPr>
        <w:numPr>
          <w:ilvl w:val="0"/>
          <w:numId w:val="13"/>
        </w:numPr>
        <w:spacing w:before="240" w:line="360" w:lineRule="auto"/>
        <w:ind w:left="568"/>
        <w:contextualSpacing/>
        <w:jc w:val="both"/>
        <w:rPr>
          <w:rFonts w:ascii="Arial" w:eastAsia="Calibri" w:hAnsi="Arial" w:cs="Arial"/>
          <w:bCs/>
          <w:sz w:val="26"/>
          <w:szCs w:val="26"/>
          <w:lang w:eastAsia="es-MX"/>
        </w:rPr>
      </w:pPr>
      <w:r>
        <w:rPr>
          <w:rFonts w:ascii="Arial" w:eastAsia="Calibri" w:hAnsi="Arial" w:cs="Arial"/>
          <w:b/>
          <w:bCs/>
          <w:sz w:val="26"/>
          <w:szCs w:val="26"/>
          <w:lang w:eastAsia="es-MX"/>
        </w:rPr>
        <w:t>*********</w:t>
      </w:r>
      <w:r w:rsidR="00AF32D8">
        <w:rPr>
          <w:rFonts w:ascii="Arial" w:eastAsia="Calibri" w:hAnsi="Arial" w:cs="Arial"/>
          <w:b/>
          <w:bCs/>
          <w:sz w:val="26"/>
          <w:szCs w:val="26"/>
          <w:lang w:eastAsia="es-MX"/>
        </w:rPr>
        <w:t xml:space="preserve">, </w:t>
      </w:r>
      <w:r w:rsidR="00AF32D8">
        <w:rPr>
          <w:rFonts w:ascii="Arial" w:eastAsia="Calibri" w:hAnsi="Arial" w:cs="Arial"/>
          <w:bCs/>
          <w:sz w:val="26"/>
          <w:szCs w:val="26"/>
          <w:lang w:eastAsia="es-MX"/>
        </w:rPr>
        <w:t xml:space="preserve">promovió juicio de nulidad en contra de la negativa ficta del Secretario de Vialidad y Transporte del Estado, respecto a los escritos de fecha catorce de julio de dos mil nueve en el cual solicita la renovación del acuerdo de concesión número </w:t>
      </w:r>
      <w:r>
        <w:rPr>
          <w:rFonts w:ascii="Arial" w:eastAsia="Calibri" w:hAnsi="Arial" w:cs="Arial"/>
          <w:bCs/>
          <w:sz w:val="26"/>
          <w:szCs w:val="26"/>
          <w:lang w:eastAsia="es-MX"/>
        </w:rPr>
        <w:t>*********</w:t>
      </w:r>
      <w:r w:rsidR="00AF32D8">
        <w:rPr>
          <w:rFonts w:ascii="Arial" w:eastAsia="Calibri" w:hAnsi="Arial" w:cs="Arial"/>
          <w:b/>
          <w:bCs/>
          <w:sz w:val="26"/>
          <w:szCs w:val="26"/>
          <w:lang w:eastAsia="es-MX"/>
        </w:rPr>
        <w:t>.</w:t>
      </w:r>
    </w:p>
    <w:p w:rsidR="00AF32D8" w:rsidRDefault="00AF32D8" w:rsidP="00AF32D8">
      <w:pPr>
        <w:spacing w:before="240" w:line="360" w:lineRule="auto"/>
        <w:ind w:left="568"/>
        <w:contextualSpacing/>
        <w:jc w:val="both"/>
        <w:rPr>
          <w:rFonts w:ascii="Arial" w:eastAsia="Calibri" w:hAnsi="Arial" w:cs="Arial"/>
          <w:bCs/>
          <w:sz w:val="26"/>
          <w:szCs w:val="26"/>
          <w:lang w:eastAsia="es-MX"/>
        </w:rPr>
      </w:pPr>
    </w:p>
    <w:p w:rsidR="00AF32D8" w:rsidRPr="00AF32D8" w:rsidRDefault="00AF32D8" w:rsidP="00AF32D8">
      <w:pPr>
        <w:numPr>
          <w:ilvl w:val="0"/>
          <w:numId w:val="13"/>
        </w:numPr>
        <w:spacing w:before="240"/>
        <w:contextualSpacing/>
        <w:jc w:val="both"/>
        <w:rPr>
          <w:rFonts w:ascii="Arial" w:eastAsia="Calibri" w:hAnsi="Arial" w:cs="Arial"/>
          <w:bCs/>
          <w:sz w:val="26"/>
          <w:szCs w:val="26"/>
          <w:lang w:eastAsia="es-MX"/>
        </w:rPr>
      </w:pPr>
      <w:r>
        <w:rPr>
          <w:rFonts w:ascii="Arial" w:eastAsia="Calibri" w:hAnsi="Arial" w:cs="Arial"/>
          <w:bCs/>
          <w:sz w:val="26"/>
          <w:szCs w:val="26"/>
          <w:lang w:eastAsia="es-MX"/>
        </w:rPr>
        <w:lastRenderedPageBreak/>
        <w:t xml:space="preserve">Medida cautelar que le FUE CONCEDIDA en el acuerdo de siete de diciembre de dos mil dieciséis. </w:t>
      </w:r>
    </w:p>
    <w:p w:rsidR="00AF32D8" w:rsidRPr="00AF32D8" w:rsidRDefault="00AF32D8" w:rsidP="00AF32D8">
      <w:pPr>
        <w:numPr>
          <w:ilvl w:val="0"/>
          <w:numId w:val="13"/>
        </w:numPr>
        <w:spacing w:before="240"/>
        <w:contextualSpacing/>
        <w:jc w:val="both"/>
        <w:rPr>
          <w:rFonts w:ascii="Arial" w:eastAsia="Calibri" w:hAnsi="Arial" w:cs="Arial"/>
          <w:bCs/>
          <w:sz w:val="26"/>
          <w:szCs w:val="26"/>
          <w:lang w:eastAsia="es-MX"/>
        </w:rPr>
      </w:pPr>
      <w:r>
        <w:rPr>
          <w:rFonts w:ascii="Arial" w:eastAsia="Calibri" w:hAnsi="Arial" w:cs="Arial"/>
          <w:bCs/>
          <w:sz w:val="26"/>
          <w:szCs w:val="26"/>
          <w:lang w:eastAsia="es-MX"/>
        </w:rPr>
        <w:t>Con fecha siete</w:t>
      </w:r>
      <w:r w:rsidR="005D1BD9">
        <w:rPr>
          <w:rFonts w:ascii="Arial" w:eastAsia="Calibri" w:hAnsi="Arial" w:cs="Arial"/>
          <w:bCs/>
          <w:sz w:val="26"/>
          <w:szCs w:val="26"/>
          <w:lang w:eastAsia="es-MX"/>
        </w:rPr>
        <w:t xml:space="preserve"> de marzo de dos mil dieciocho,</w:t>
      </w:r>
      <w:r>
        <w:rPr>
          <w:rFonts w:ascii="Arial" w:eastAsia="Calibri" w:hAnsi="Arial" w:cs="Arial"/>
          <w:bCs/>
          <w:sz w:val="26"/>
          <w:szCs w:val="26"/>
          <w:lang w:eastAsia="es-MX"/>
        </w:rPr>
        <w:t xml:space="preserve"> la primera instancia resolvió y concedió la </w:t>
      </w:r>
      <w:r>
        <w:rPr>
          <w:rFonts w:ascii="Arial" w:eastAsia="Calibri" w:hAnsi="Arial" w:cs="Arial"/>
          <w:b/>
          <w:bCs/>
          <w:sz w:val="26"/>
          <w:szCs w:val="26"/>
          <w:lang w:eastAsia="es-MX"/>
        </w:rPr>
        <w:t>SUSPENSIÓN DEFINITIVA</w:t>
      </w:r>
      <w:r>
        <w:rPr>
          <w:rFonts w:ascii="Arial" w:eastAsia="Calibri" w:hAnsi="Arial" w:cs="Arial"/>
          <w:bCs/>
          <w:sz w:val="26"/>
          <w:szCs w:val="26"/>
          <w:lang w:eastAsia="es-MX"/>
        </w:rPr>
        <w:t xml:space="preserve">  a  </w:t>
      </w:r>
      <w:r w:rsidR="00B7510F">
        <w:rPr>
          <w:rFonts w:ascii="Arial" w:eastAsia="Calibri" w:hAnsi="Arial" w:cs="Arial"/>
          <w:b/>
          <w:bCs/>
          <w:sz w:val="26"/>
          <w:szCs w:val="26"/>
          <w:lang w:eastAsia="es-MX"/>
        </w:rPr>
        <w:t>*********</w:t>
      </w:r>
      <w:r>
        <w:rPr>
          <w:rFonts w:ascii="Arial" w:eastAsia="Calibri" w:hAnsi="Arial" w:cs="Arial"/>
          <w:b/>
          <w:bCs/>
          <w:sz w:val="26"/>
          <w:szCs w:val="26"/>
          <w:lang w:eastAsia="es-MX"/>
        </w:rPr>
        <w:t>.</w:t>
      </w:r>
    </w:p>
    <w:p w:rsidR="00AF32D8" w:rsidRDefault="00AF32D8" w:rsidP="00AF32D8">
      <w:pPr>
        <w:pStyle w:val="Prrafodelista"/>
        <w:widowControl w:val="0"/>
        <w:numPr>
          <w:ilvl w:val="0"/>
          <w:numId w:val="13"/>
        </w:numPr>
        <w:spacing w:before="240" w:after="0" w:line="360" w:lineRule="auto"/>
        <w:ind w:right="18"/>
        <w:jc w:val="both"/>
        <w:rPr>
          <w:rFonts w:ascii="Arial" w:eastAsiaTheme="minorEastAsia" w:hAnsi="Arial" w:cs="Arial"/>
          <w:bCs/>
          <w:color w:val="000000"/>
          <w:sz w:val="26"/>
          <w:szCs w:val="26"/>
          <w:lang w:eastAsia="es-MX"/>
        </w:rPr>
      </w:pPr>
      <w:r>
        <w:rPr>
          <w:rFonts w:ascii="Arial" w:eastAsiaTheme="minorEastAsia" w:hAnsi="Arial" w:cs="Arial"/>
          <w:bCs/>
          <w:color w:val="000000"/>
          <w:sz w:val="26"/>
          <w:szCs w:val="26"/>
          <w:lang w:eastAsia="es-MX"/>
        </w:rPr>
        <w:t>Mediante oficio  de número TCAC/SGA/2539/2018. Signada por la Secretaria General de Acuerdos de este Tribunal. Con el que remite el cuadernillo de copias certificadas deducidas del expediente principal 0501/2018 del índice de la Sexta Sala Unitaria de primera Instancia y de las que se obtiene que el veintiséis de octubre de dos mil dieciocho, se dictó sentencia definitiva en el juicio de nulidad 501/2018.</w:t>
      </w:r>
    </w:p>
    <w:p w:rsidR="00AF32D8" w:rsidRDefault="00AF32D8" w:rsidP="00AF32D8">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Pr>
          <w:rFonts w:ascii="Arial" w:eastAsiaTheme="minorEastAsia" w:hAnsi="Arial" w:cs="Arial"/>
          <w:b/>
          <w:bCs/>
          <w:color w:val="000000"/>
          <w:sz w:val="26"/>
          <w:szCs w:val="26"/>
          <w:lang w:eastAsia="es-MX"/>
        </w:rPr>
        <w:t xml:space="preserve">Ahora, </w:t>
      </w:r>
      <w:r>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Pr>
          <w:rFonts w:ascii="Arial" w:eastAsiaTheme="minorEastAsia" w:hAnsi="Arial" w:cs="Arial"/>
          <w:bCs/>
          <w:i/>
          <w:color w:val="000000"/>
          <w:sz w:val="26"/>
          <w:szCs w:val="26"/>
          <w:lang w:eastAsia="es-MX"/>
        </w:rPr>
        <w:t xml:space="preserve">temporalmente </w:t>
      </w:r>
      <w:r>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AF32D8" w:rsidRDefault="00AF32D8" w:rsidP="00AF32D8">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Arial" w:eastAsiaTheme="minorEastAsia" w:hAnsi="Arial" w:cs="Arial"/>
          <w:bCs/>
          <w:color w:val="000000"/>
          <w:sz w:val="26"/>
          <w:szCs w:val="26"/>
          <w:lang w:val="es-MX" w:eastAsia="es-MX"/>
        </w:rPr>
        <w:t xml:space="preserve">En este sentido, si la primera instancia ya dictó la determinación que resuelve el fondo del asunto sometido a su jurisdicción (el veintiséis de octubre de dos mil dieciocho) entonces los efectos temporales de la medida cautelar </w:t>
      </w:r>
      <w:r>
        <w:rPr>
          <w:rFonts w:ascii="Arial" w:eastAsiaTheme="minorEastAsia" w:hAnsi="Arial" w:cs="Arial"/>
          <w:bCs/>
          <w:i/>
          <w:color w:val="000000"/>
          <w:sz w:val="26"/>
          <w:szCs w:val="26"/>
          <w:lang w:val="es-MX" w:eastAsia="es-MX"/>
        </w:rPr>
        <w:t xml:space="preserve">suspensión </w:t>
      </w:r>
      <w:r>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AF32D8" w:rsidRDefault="00AF32D8" w:rsidP="00AF32D8">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 </w:t>
      </w:r>
    </w:p>
    <w:p w:rsidR="00AF32D8" w:rsidRDefault="00AF32D8" w:rsidP="00AF32D8">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AF32D8" w:rsidRDefault="00AF32D8" w:rsidP="00AF32D8">
      <w:pPr>
        <w:spacing w:before="240" w:after="0" w:line="360" w:lineRule="auto"/>
        <w:ind w:left="709" w:right="709"/>
        <w:jc w:val="both"/>
        <w:rPr>
          <w:rFonts w:ascii="Arial" w:eastAsiaTheme="minorEastAsia" w:hAnsi="Arial" w:cs="Arial"/>
          <w:b/>
          <w:bCs/>
          <w:lang w:val="es-MX" w:eastAsia="es-MX"/>
        </w:rPr>
      </w:pPr>
      <w:r>
        <w:rPr>
          <w:rFonts w:ascii="Arial" w:eastAsiaTheme="minorEastAsia" w:hAnsi="Arial" w:cs="Arial"/>
          <w:b/>
          <w:bCs/>
          <w:i/>
          <w:lang w:val="es-MX" w:eastAsia="es-MX"/>
        </w:rPr>
        <w:lastRenderedPageBreak/>
        <w:t xml:space="preserve">“CAMBIO DE SITUACIÓN JURÍDICA. REGLA GENERAL. </w:t>
      </w:r>
      <w:r>
        <w:rPr>
          <w:rFonts w:ascii="Arial" w:eastAsiaTheme="minorEastAsia" w:hAnsi="Arial" w:cs="Arial"/>
          <w:bCs/>
          <w:i/>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AF32D8" w:rsidRDefault="00AF32D8" w:rsidP="00AF32D8">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
          <w:bCs/>
          <w:sz w:val="26"/>
          <w:szCs w:val="26"/>
          <w:lang w:val="es-MX" w:eastAsia="es-MX"/>
        </w:rPr>
        <w:t xml:space="preserve">Por estas razones, </w:t>
      </w:r>
      <w:r>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 sino de la sentencia que ha puesto fin a la controversia. Esta consideración encuentra sustento por identidad en el tema en la jurisprudencia </w:t>
      </w:r>
      <w:bookmarkStart w:id="0" w:name="_GoBack"/>
      <w:bookmarkEnd w:id="0"/>
      <w:r>
        <w:rPr>
          <w:rFonts w:ascii="Arial" w:eastAsiaTheme="minorEastAsia" w:hAnsi="Arial" w:cs="Arial"/>
          <w:bCs/>
          <w:sz w:val="26"/>
          <w:szCs w:val="26"/>
          <w:lang w:val="es-MX" w:eastAsia="es-MX"/>
        </w:rPr>
        <w:t xml:space="preserve">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AF32D8" w:rsidRDefault="00AF32D8" w:rsidP="00AF32D8">
      <w:pPr>
        <w:spacing w:before="240" w:after="0" w:line="360" w:lineRule="auto"/>
        <w:ind w:left="851" w:right="899"/>
        <w:jc w:val="both"/>
        <w:rPr>
          <w:rFonts w:ascii="Arial" w:eastAsiaTheme="minorEastAsia" w:hAnsi="Arial" w:cs="Arial"/>
          <w:bCs/>
          <w:i/>
          <w:lang w:val="es-MX" w:eastAsia="es-MX"/>
        </w:rPr>
      </w:pPr>
      <w:r>
        <w:rPr>
          <w:rFonts w:ascii="Arial" w:eastAsiaTheme="minorEastAsia" w:hAnsi="Arial" w:cs="Arial"/>
          <w:bCs/>
          <w:i/>
          <w:lang w:val="es-MX" w:eastAsia="es-MX"/>
        </w:rPr>
        <w:t>“</w:t>
      </w:r>
      <w:r>
        <w:rPr>
          <w:rFonts w:ascii="Arial" w:eastAsiaTheme="minorEastAsia" w:hAnsi="Arial" w:cs="Arial"/>
          <w:b/>
          <w:bCs/>
          <w:i/>
          <w:lang w:val="es-MX" w:eastAsia="es-MX"/>
        </w:rPr>
        <w:t>QUEJA SIN MATERIA</w:t>
      </w:r>
      <w:r>
        <w:rPr>
          <w:rFonts w:ascii="Arial" w:eastAsiaTheme="minorEastAsia" w:hAnsi="Arial" w:cs="Arial"/>
          <w:bCs/>
          <w:i/>
          <w:lang w:val="es-MX" w:eastAsia="es-MX"/>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p>
    <w:p w:rsidR="00AF32D8" w:rsidRDefault="00AF32D8" w:rsidP="00AF32D8">
      <w:pPr>
        <w:spacing w:before="240" w:after="0" w:line="360" w:lineRule="auto"/>
        <w:ind w:right="709"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lastRenderedPageBreak/>
        <w:t>De esta manera, la nueva situación jurídica bajo la cual se rigen ahora las partes, constituye un obstáculo respecto al análisis de la legalidad o ilegalidad de la determinación que concedió la suspensión  definitiva.</w:t>
      </w:r>
    </w:p>
    <w:p w:rsidR="00AF32D8" w:rsidRDefault="00AF32D8" w:rsidP="00AF32D8">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AF32D8" w:rsidRDefault="00AF32D8" w:rsidP="00AF32D8">
      <w:pPr>
        <w:spacing w:before="240" w:after="0" w:line="360" w:lineRule="auto"/>
        <w:ind w:firstLine="709"/>
        <w:jc w:val="both"/>
        <w:rPr>
          <w:rFonts w:ascii="Arial" w:eastAsiaTheme="minorEastAsia" w:hAnsi="Arial" w:cs="Arial"/>
          <w:sz w:val="26"/>
          <w:szCs w:val="26"/>
          <w:lang w:val="es-MX" w:eastAsia="es-MX"/>
        </w:rPr>
      </w:pPr>
      <w:r>
        <w:rPr>
          <w:rFonts w:ascii="Arial" w:eastAsiaTheme="minorEastAsia" w:hAnsi="Arial" w:cs="Arial"/>
          <w:bCs/>
          <w:sz w:val="26"/>
          <w:szCs w:val="26"/>
          <w:lang w:val="es-MX" w:eastAsia="es-MX"/>
        </w:rPr>
        <w:t xml:space="preserve">En consecuencia, se </w:t>
      </w:r>
      <w:r>
        <w:rPr>
          <w:rFonts w:ascii="Arial" w:eastAsiaTheme="minorEastAsia" w:hAnsi="Arial" w:cs="Arial"/>
          <w:b/>
          <w:bCs/>
          <w:sz w:val="26"/>
          <w:szCs w:val="26"/>
          <w:lang w:val="es-MX" w:eastAsia="es-MX"/>
        </w:rPr>
        <w:t xml:space="preserve">DECLARA SIN MATERIA </w:t>
      </w:r>
      <w:r>
        <w:rPr>
          <w:rFonts w:ascii="Arial" w:eastAsiaTheme="minorEastAsia" w:hAnsi="Arial" w:cs="Arial"/>
          <w:bCs/>
          <w:sz w:val="26"/>
          <w:szCs w:val="26"/>
          <w:lang w:val="es-MX" w:eastAsia="es-MX"/>
        </w:rPr>
        <w:t>el presente recurso de revisión y</w:t>
      </w:r>
      <w:r>
        <w:rPr>
          <w:rFonts w:ascii="Arial" w:eastAsia="Calibri" w:hAnsi="Arial" w:cs="Arial"/>
          <w:bCs/>
          <w:sz w:val="26"/>
          <w:szCs w:val="26"/>
          <w:lang w:val="es-MX" w:eastAsia="es-MX"/>
        </w:rPr>
        <w:t xml:space="preserve"> </w:t>
      </w:r>
      <w:r>
        <w:rPr>
          <w:rFonts w:ascii="Arial" w:eastAsiaTheme="minorEastAsia" w:hAnsi="Arial" w:cs="Arial"/>
          <w:sz w:val="26"/>
          <w:szCs w:val="26"/>
          <w:lang w:val="es-MX" w:eastAsia="es-MX"/>
        </w:rPr>
        <w:t>con fundamento en los artículos 207 y 208 de la Ley de Justicia Administrativa para el Estado,  vigente hasta el  veinte de octubre de  dos mil diecisiete, se:</w:t>
      </w:r>
    </w:p>
    <w:p w:rsidR="00AF32D8" w:rsidRDefault="00AF32D8" w:rsidP="00AF32D8">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F32D8" w:rsidRDefault="00AF32D8" w:rsidP="00AF32D8">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AF32D8" w:rsidRDefault="00AF32D8" w:rsidP="00AF32D8">
      <w:pPr>
        <w:pStyle w:val="Sinespaciado"/>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 </w:t>
      </w:r>
      <w:r>
        <w:rPr>
          <w:rFonts w:ascii="Arial" w:hAnsi="Arial" w:cs="Arial"/>
          <w:b/>
          <w:sz w:val="26"/>
          <w:szCs w:val="26"/>
        </w:rPr>
        <w:t>SEGUNDO.</w:t>
      </w:r>
      <w:r>
        <w:rPr>
          <w:rFonts w:ascii="Arial" w:hAnsi="Arial" w:cs="Arial"/>
          <w:sz w:val="26"/>
          <w:szCs w:val="26"/>
        </w:rPr>
        <w:t xml:space="preserve"> </w:t>
      </w:r>
      <w:r>
        <w:rPr>
          <w:rFonts w:ascii="Arial" w:hAnsi="Arial" w:cs="Arial"/>
          <w:b/>
          <w:sz w:val="26"/>
          <w:szCs w:val="26"/>
        </w:rPr>
        <w:t>NOTIFÍQUESE Y CÚMPLASE,</w:t>
      </w:r>
      <w:r>
        <w:rPr>
          <w:rFonts w:ascii="Arial" w:hAnsi="Arial" w:cs="Arial"/>
          <w:sz w:val="26"/>
          <w:szCs w:val="26"/>
        </w:rPr>
        <w:t xml:space="preserve"> con copia certificada de la presente resolución, vuelvan las constancias remitidas a la Sexta Sala Unitaria de Primera Instancia, </w:t>
      </w:r>
      <w:r>
        <w:rPr>
          <w:rFonts w:ascii="Arial" w:eastAsia="Calibri" w:hAnsi="Arial" w:cs="Arial"/>
          <w:sz w:val="26"/>
          <w:szCs w:val="26"/>
        </w:rPr>
        <w:t>y en su oportunidad archívese los cuadernos de revisión como concluidos.</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AF32D8" w:rsidRDefault="00AF32D8" w:rsidP="00AF32D8">
      <w:pPr>
        <w:spacing w:line="360" w:lineRule="auto"/>
        <w:jc w:val="center"/>
        <w:rPr>
          <w:rFonts w:ascii="Arial" w:eastAsia="Calibri" w:hAnsi="Arial" w:cs="Arial"/>
          <w:b/>
          <w:sz w:val="14"/>
          <w:szCs w:val="26"/>
        </w:rPr>
      </w:pPr>
    </w:p>
    <w:p w:rsidR="00AF32D8" w:rsidRPr="00AF32D8" w:rsidRDefault="00AF32D8" w:rsidP="00AF32D8">
      <w:pPr>
        <w:spacing w:line="360" w:lineRule="auto"/>
        <w:jc w:val="center"/>
        <w:rPr>
          <w:rFonts w:ascii="Arial" w:eastAsia="Calibri" w:hAnsi="Arial" w:cs="Arial"/>
          <w:b/>
          <w:sz w:val="14"/>
          <w:szCs w:val="26"/>
        </w:rPr>
      </w:pPr>
      <w:r w:rsidRPr="00AF32D8">
        <w:rPr>
          <w:rFonts w:ascii="Arial" w:eastAsia="Calibri" w:hAnsi="Arial" w:cs="Arial"/>
          <w:b/>
          <w:sz w:val="14"/>
          <w:szCs w:val="26"/>
        </w:rPr>
        <w:t>LAS PRESENTES FIRMAS CORRESPONEN AL RECURSO DE REVISIÓN 101/2018</w:t>
      </w: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49" w:rsidRDefault="00130849">
      <w:pPr>
        <w:spacing w:after="0" w:line="240" w:lineRule="auto"/>
      </w:pPr>
      <w:r>
        <w:separator/>
      </w:r>
    </w:p>
  </w:endnote>
  <w:endnote w:type="continuationSeparator" w:id="0">
    <w:p w:rsidR="00130849" w:rsidRDefault="0013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D4" w:rsidRDefault="00B676D4">
    <w:pPr>
      <w:pStyle w:val="Piedepgina"/>
    </w:pPr>
    <w:r>
      <w:rPr>
        <w:noProof/>
        <w:lang w:val="es-MX" w:eastAsia="es-MX"/>
      </w:rPr>
      <w:drawing>
        <wp:anchor distT="0" distB="0" distL="114300" distR="114300" simplePos="0" relativeHeight="251658240" behindDoc="0" locked="0" layoutInCell="1" allowOverlap="1" wp14:anchorId="5B6ADF75" wp14:editId="2E0B6040">
          <wp:simplePos x="0" y="0"/>
          <wp:positionH relativeFrom="column">
            <wp:posOffset>5661660</wp:posOffset>
          </wp:positionH>
          <wp:positionV relativeFrom="paragraph">
            <wp:posOffset>-5284470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49" w:rsidRDefault="00130849">
      <w:pPr>
        <w:spacing w:after="0" w:line="240" w:lineRule="auto"/>
      </w:pPr>
      <w:r>
        <w:separator/>
      </w:r>
    </w:p>
  </w:footnote>
  <w:footnote w:type="continuationSeparator" w:id="0">
    <w:p w:rsidR="00130849" w:rsidRDefault="0013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B7510F">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B7510F">
          <w:rPr>
            <w:noProof/>
          </w:rPr>
          <w:t>5</w:t>
        </w:r>
        <w:r>
          <w:rPr>
            <w:noProof/>
          </w:rPr>
          <w:fldChar w:fldCharType="end"/>
        </w:r>
      </w:p>
      <w:p w:rsidR="00E61AB6" w:rsidRDefault="00B7510F" w:rsidP="008C74CA">
        <w:pPr>
          <w:pStyle w:val="Encabezado"/>
          <w:jc w:val="center"/>
        </w:pPr>
      </w:p>
    </w:sdtContent>
  </w:sdt>
  <w:p w:rsidR="00E61AB6" w:rsidRDefault="00E61AB6" w:rsidP="00256B01">
    <w:pPr>
      <w:pStyle w:val="Encabezado"/>
      <w:jc w:val="center"/>
    </w:pPr>
  </w:p>
  <w:p w:rsidR="00E61AB6" w:rsidRDefault="00B676D4"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5615305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49"/>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676D4"/>
    <w:rsid w:val="00B7058E"/>
    <w:rsid w:val="00B70873"/>
    <w:rsid w:val="00B70EC1"/>
    <w:rsid w:val="00B7103E"/>
    <w:rsid w:val="00B71315"/>
    <w:rsid w:val="00B7173A"/>
    <w:rsid w:val="00B72FDD"/>
    <w:rsid w:val="00B737DD"/>
    <w:rsid w:val="00B73E27"/>
    <w:rsid w:val="00B7510F"/>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9CB"/>
    <w:rsid w:val="00ED2E55"/>
    <w:rsid w:val="00ED54D9"/>
    <w:rsid w:val="00ED5DDA"/>
    <w:rsid w:val="00ED7D48"/>
    <w:rsid w:val="00EE135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75FA-954F-4828-928F-4CF34E58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1630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cp:revision>
  <cp:lastPrinted>2018-12-11T18:26:00Z</cp:lastPrinted>
  <dcterms:created xsi:type="dcterms:W3CDTF">2018-11-21T22:02:00Z</dcterms:created>
  <dcterms:modified xsi:type="dcterms:W3CDTF">2019-02-05T16:12:00Z</dcterms:modified>
</cp:coreProperties>
</file>