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AA" w:rsidRPr="00820495" w:rsidRDefault="00D629AA" w:rsidP="00D629AA">
      <w:bookmarkStart w:id="0" w:name="_GoBack"/>
      <w:bookmarkEnd w:id="0"/>
      <w:r>
        <w:tab/>
        <w:t xml:space="preserve">  </w:t>
      </w:r>
    </w:p>
    <w:p w:rsidR="00D629AA" w:rsidRDefault="00D629AA" w:rsidP="00D629AA">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D629AA" w:rsidRPr="00B668BB" w:rsidTr="00CA705E">
        <w:tc>
          <w:tcPr>
            <w:tcW w:w="2356" w:type="dxa"/>
          </w:tcPr>
          <w:p w:rsidR="00D629AA" w:rsidRPr="00B668BB" w:rsidRDefault="00D629AA" w:rsidP="00CA705E">
            <w:pPr>
              <w:rPr>
                <w:rFonts w:ascii="Arial" w:hAnsi="Arial" w:cs="Arial"/>
                <w:b/>
                <w:sz w:val="26"/>
                <w:szCs w:val="26"/>
              </w:rPr>
            </w:pPr>
          </w:p>
        </w:tc>
        <w:tc>
          <w:tcPr>
            <w:tcW w:w="7426" w:type="dxa"/>
          </w:tcPr>
          <w:p w:rsidR="00D629AA" w:rsidRPr="00B668BB" w:rsidRDefault="00D629AA" w:rsidP="00CA705E">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D629AA" w:rsidRPr="000A1F0F" w:rsidRDefault="00D629AA" w:rsidP="00CA705E">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D629AA" w:rsidRDefault="00D629AA" w:rsidP="00CA705E">
            <w:pPr>
              <w:pStyle w:val="Encabezado"/>
              <w:ind w:left="1119" w:right="51"/>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8C4271">
              <w:rPr>
                <w:rFonts w:ascii="Arial" w:hAnsi="Arial" w:cs="Arial"/>
                <w:b/>
                <w:iCs/>
                <w:caps/>
                <w:sz w:val="26"/>
                <w:szCs w:val="26"/>
                <w:lang w:val="es-PE"/>
              </w:rPr>
              <w:t>0</w:t>
            </w:r>
            <w:r w:rsidR="00EB6404">
              <w:rPr>
                <w:rFonts w:ascii="Arial" w:hAnsi="Arial" w:cs="Arial"/>
                <w:b/>
                <w:iCs/>
                <w:caps/>
                <w:sz w:val="26"/>
                <w:szCs w:val="26"/>
                <w:lang w:val="es-PE"/>
              </w:rPr>
              <w:t>0</w:t>
            </w:r>
            <w:r w:rsidR="008C4271">
              <w:rPr>
                <w:rFonts w:ascii="Arial" w:hAnsi="Arial" w:cs="Arial"/>
                <w:b/>
                <w:iCs/>
                <w:caps/>
                <w:sz w:val="26"/>
                <w:szCs w:val="26"/>
                <w:lang w:val="es-PE"/>
              </w:rPr>
              <w:t>27/2018</w:t>
            </w:r>
            <w:r>
              <w:rPr>
                <w:rFonts w:ascii="Arial" w:hAnsi="Arial" w:cs="Arial"/>
                <w:b/>
                <w:iCs/>
                <w:caps/>
                <w:sz w:val="26"/>
                <w:szCs w:val="26"/>
                <w:lang w:val="es-PE"/>
              </w:rPr>
              <w:t xml:space="preserve"> </w:t>
            </w:r>
          </w:p>
          <w:p w:rsidR="00D629AA" w:rsidRPr="000A1F0F" w:rsidRDefault="00D629AA" w:rsidP="00CA705E">
            <w:pPr>
              <w:pStyle w:val="Encabezado"/>
              <w:ind w:right="51"/>
              <w:jc w:val="both"/>
              <w:rPr>
                <w:rFonts w:ascii="Arial" w:hAnsi="Arial" w:cs="Arial"/>
                <w:b/>
                <w:iCs/>
                <w:caps/>
                <w:sz w:val="26"/>
                <w:szCs w:val="26"/>
                <w:lang w:val="es-PE"/>
              </w:rPr>
            </w:pPr>
          </w:p>
          <w:p w:rsidR="00D629AA" w:rsidRDefault="007C0D3B" w:rsidP="00CA705E">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D629AA">
              <w:rPr>
                <w:rFonts w:ascii="Arial" w:hAnsi="Arial" w:cs="Arial"/>
                <w:b/>
                <w:iCs/>
                <w:caps/>
                <w:sz w:val="26"/>
                <w:szCs w:val="26"/>
              </w:rPr>
              <w:t>EXPEDIENTE:</w:t>
            </w:r>
            <w:r w:rsidR="00D629AA">
              <w:rPr>
                <w:rFonts w:ascii="Arial" w:hAnsi="Arial" w:cs="Arial"/>
                <w:b/>
                <w:iCs/>
                <w:caps/>
                <w:sz w:val="26"/>
                <w:szCs w:val="26"/>
                <w:lang w:val="es-PE"/>
              </w:rPr>
              <w:t xml:space="preserve"> 0</w:t>
            </w:r>
            <w:r w:rsidR="008C4271">
              <w:rPr>
                <w:rFonts w:ascii="Arial" w:hAnsi="Arial" w:cs="Arial"/>
                <w:b/>
                <w:iCs/>
                <w:caps/>
                <w:sz w:val="26"/>
                <w:szCs w:val="26"/>
                <w:lang w:val="es-PE"/>
              </w:rPr>
              <w:t>475</w:t>
            </w:r>
            <w:r w:rsidR="00D629AA">
              <w:rPr>
                <w:rFonts w:ascii="Arial" w:hAnsi="Arial" w:cs="Arial"/>
                <w:b/>
                <w:iCs/>
                <w:caps/>
                <w:sz w:val="26"/>
                <w:szCs w:val="26"/>
                <w:lang w:val="es-PE"/>
              </w:rPr>
              <w:t xml:space="preserve">/2016 de la </w:t>
            </w:r>
            <w:r w:rsidR="00C211C8">
              <w:rPr>
                <w:rFonts w:ascii="Arial" w:hAnsi="Arial" w:cs="Arial"/>
                <w:b/>
                <w:iCs/>
                <w:caps/>
                <w:sz w:val="26"/>
                <w:szCs w:val="26"/>
                <w:lang w:val="es-PE"/>
              </w:rPr>
              <w:t>TERCERA</w:t>
            </w:r>
            <w:r w:rsidR="00D629AA">
              <w:rPr>
                <w:rFonts w:ascii="Arial" w:hAnsi="Arial" w:cs="Arial"/>
                <w:b/>
                <w:iCs/>
                <w:caps/>
                <w:sz w:val="26"/>
                <w:szCs w:val="26"/>
                <w:lang w:val="es-PE"/>
              </w:rPr>
              <w:t xml:space="preserve"> sala unitaria DE PRIMERA INSTANCIA.</w:t>
            </w:r>
          </w:p>
          <w:p w:rsidR="00D629AA" w:rsidRPr="000A1F0F" w:rsidRDefault="00D629AA" w:rsidP="00CA705E">
            <w:pPr>
              <w:pStyle w:val="Encabezado"/>
              <w:ind w:left="1119" w:right="51" w:hanging="1119"/>
              <w:jc w:val="both"/>
              <w:rPr>
                <w:rFonts w:ascii="Arial" w:hAnsi="Arial" w:cs="Arial"/>
                <w:b/>
                <w:iCs/>
                <w:caps/>
                <w:sz w:val="26"/>
                <w:szCs w:val="26"/>
                <w:lang w:val="es-PE"/>
              </w:rPr>
            </w:pPr>
          </w:p>
          <w:p w:rsidR="00D629AA" w:rsidRPr="000A1F0F" w:rsidRDefault="00D629AA" w:rsidP="00CA705E">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D629AA" w:rsidRPr="00B668BB" w:rsidTr="00CA705E">
        <w:tc>
          <w:tcPr>
            <w:tcW w:w="2356" w:type="dxa"/>
          </w:tcPr>
          <w:p w:rsidR="00D629AA" w:rsidRPr="00B668BB" w:rsidRDefault="00D629AA" w:rsidP="00CA705E">
            <w:pPr>
              <w:rPr>
                <w:rFonts w:ascii="Arial" w:hAnsi="Arial" w:cs="Arial"/>
                <w:b/>
                <w:sz w:val="26"/>
                <w:szCs w:val="26"/>
              </w:rPr>
            </w:pPr>
          </w:p>
        </w:tc>
        <w:tc>
          <w:tcPr>
            <w:tcW w:w="7426" w:type="dxa"/>
          </w:tcPr>
          <w:p w:rsidR="00D629AA" w:rsidRPr="00B668BB" w:rsidRDefault="00D629AA" w:rsidP="00CA705E">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D629AA" w:rsidRPr="00B668BB" w:rsidTr="00CA705E">
        <w:tc>
          <w:tcPr>
            <w:tcW w:w="2356" w:type="dxa"/>
          </w:tcPr>
          <w:p w:rsidR="00D629AA" w:rsidRPr="00B668BB" w:rsidRDefault="00D629AA" w:rsidP="00CA705E">
            <w:pPr>
              <w:rPr>
                <w:rFonts w:ascii="Arial" w:hAnsi="Arial" w:cs="Arial"/>
                <w:b/>
                <w:sz w:val="26"/>
                <w:szCs w:val="26"/>
              </w:rPr>
            </w:pPr>
          </w:p>
        </w:tc>
        <w:tc>
          <w:tcPr>
            <w:tcW w:w="7426" w:type="dxa"/>
          </w:tcPr>
          <w:p w:rsidR="00D629AA" w:rsidRPr="00B668BB" w:rsidRDefault="00D629AA" w:rsidP="00CA705E">
            <w:pPr>
              <w:tabs>
                <w:tab w:val="left" w:pos="3103"/>
              </w:tabs>
              <w:ind w:left="2961" w:hanging="2961"/>
              <w:jc w:val="both"/>
              <w:rPr>
                <w:rFonts w:ascii="Arial" w:hAnsi="Arial" w:cs="Arial"/>
                <w:b/>
                <w:i/>
                <w:iCs/>
                <w:caps/>
                <w:sz w:val="26"/>
                <w:szCs w:val="26"/>
              </w:rPr>
            </w:pPr>
          </w:p>
        </w:tc>
      </w:tr>
    </w:tbl>
    <w:p w:rsidR="00D629AA" w:rsidRPr="006E349D" w:rsidRDefault="007C0D3B" w:rsidP="00D629AA">
      <w:pPr>
        <w:spacing w:line="360" w:lineRule="auto"/>
        <w:jc w:val="both"/>
        <w:rPr>
          <w:rFonts w:ascii="Arial" w:hAnsi="Arial" w:cs="Arial"/>
          <w:b/>
          <w:sz w:val="26"/>
          <w:szCs w:val="26"/>
        </w:rPr>
      </w:pPr>
      <w:r>
        <w:rPr>
          <w:rFonts w:ascii="Arial" w:hAnsi="Arial" w:cs="Arial"/>
          <w:b/>
          <w:sz w:val="26"/>
          <w:szCs w:val="26"/>
        </w:rPr>
        <w:t>OAXACA DE JUÁREZ, OAXACA, ONCE DE OCTUBRE DE</w:t>
      </w:r>
      <w:r w:rsidR="00D629AA" w:rsidRPr="006E349D">
        <w:rPr>
          <w:rFonts w:ascii="Arial" w:hAnsi="Arial" w:cs="Arial"/>
          <w:b/>
          <w:sz w:val="26"/>
          <w:szCs w:val="26"/>
        </w:rPr>
        <w:t xml:space="preserve"> DOS MIL </w:t>
      </w:r>
      <w:r w:rsidR="00D629AA">
        <w:rPr>
          <w:rFonts w:ascii="Arial" w:hAnsi="Arial" w:cs="Arial"/>
          <w:b/>
          <w:sz w:val="26"/>
          <w:szCs w:val="26"/>
        </w:rPr>
        <w:t>DIECIOCHO</w:t>
      </w:r>
      <w:r>
        <w:rPr>
          <w:rFonts w:ascii="Arial" w:hAnsi="Arial" w:cs="Arial"/>
          <w:b/>
          <w:sz w:val="26"/>
          <w:szCs w:val="26"/>
        </w:rPr>
        <w:t>.</w:t>
      </w:r>
    </w:p>
    <w:p w:rsidR="001E752F" w:rsidRDefault="00D629AA" w:rsidP="001E752F">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sz w:val="26"/>
          <w:szCs w:val="26"/>
        </w:rPr>
        <w:t xml:space="preserve"> </w:t>
      </w:r>
      <w:r w:rsidR="00C211C8">
        <w:rPr>
          <w:rFonts w:ascii="Arial" w:hAnsi="Arial" w:cs="Arial"/>
          <w:b/>
          <w:iCs/>
          <w:caps/>
          <w:sz w:val="26"/>
          <w:szCs w:val="26"/>
          <w:lang w:val="es-PE"/>
        </w:rPr>
        <w:t>027</w:t>
      </w:r>
      <w:r>
        <w:rPr>
          <w:rFonts w:ascii="Arial" w:hAnsi="Arial" w:cs="Arial"/>
          <w:b/>
          <w:iCs/>
          <w:caps/>
          <w:sz w:val="26"/>
          <w:szCs w:val="26"/>
          <w:lang w:val="es-PE"/>
        </w:rPr>
        <w:t>/</w:t>
      </w:r>
      <w:r w:rsidR="00C211C8">
        <w:rPr>
          <w:rFonts w:ascii="Arial" w:hAnsi="Arial" w:cs="Arial"/>
          <w:b/>
          <w:iCs/>
          <w:caps/>
          <w:sz w:val="26"/>
          <w:szCs w:val="26"/>
          <w:lang w:val="es-PE"/>
        </w:rPr>
        <w:t>2018</w:t>
      </w:r>
      <w:r>
        <w:rPr>
          <w:rFonts w:ascii="Arial" w:hAnsi="Arial" w:cs="Arial"/>
          <w:b/>
          <w:iCs/>
          <w:caps/>
          <w:sz w:val="26"/>
          <w:szCs w:val="26"/>
          <w:lang w:val="es-PE"/>
        </w:rPr>
        <w:t xml:space="preserve"> </w:t>
      </w:r>
      <w:r w:rsidRPr="006E349D">
        <w:rPr>
          <w:rFonts w:ascii="Arial" w:hAnsi="Arial" w:cs="Arial"/>
          <w:sz w:val="26"/>
          <w:szCs w:val="26"/>
        </w:rPr>
        <w:t>que remite</w:t>
      </w:r>
      <w:r>
        <w:rPr>
          <w:rFonts w:ascii="Arial" w:hAnsi="Arial" w:cs="Arial"/>
          <w:sz w:val="26"/>
          <w:szCs w:val="26"/>
        </w:rPr>
        <w:t>n</w:t>
      </w:r>
      <w:r w:rsidRPr="006E349D">
        <w:rPr>
          <w:rFonts w:ascii="Arial" w:hAnsi="Arial" w:cs="Arial"/>
          <w:sz w:val="26"/>
          <w:szCs w:val="26"/>
        </w:rPr>
        <w:t xml:space="preserv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w:t>
      </w:r>
      <w:r w:rsidR="008954C8" w:rsidRPr="008954C8">
        <w:rPr>
          <w:rFonts w:ascii="Arial" w:hAnsi="Arial" w:cs="Arial"/>
          <w:sz w:val="26"/>
          <w:szCs w:val="26"/>
        </w:rPr>
        <w:t>el Licenciado</w:t>
      </w:r>
      <w:r w:rsidR="008954C8">
        <w:rPr>
          <w:rFonts w:ascii="Arial" w:hAnsi="Arial" w:cs="Arial"/>
          <w:b/>
          <w:sz w:val="26"/>
          <w:szCs w:val="26"/>
        </w:rPr>
        <w:t xml:space="preserve"> </w:t>
      </w:r>
      <w:r w:rsidR="00EB6404" w:rsidRPr="008954C8">
        <w:rPr>
          <w:rFonts w:ascii="Arial" w:hAnsi="Arial" w:cs="Arial"/>
          <w:b/>
          <w:sz w:val="26"/>
          <w:szCs w:val="26"/>
        </w:rPr>
        <w:t>FRANCISCO JAVIER FABIÁN YESCA</w:t>
      </w:r>
      <w:r w:rsidR="00EB6404">
        <w:rPr>
          <w:rFonts w:ascii="Arial" w:hAnsi="Arial" w:cs="Arial"/>
          <w:b/>
          <w:sz w:val="26"/>
          <w:szCs w:val="26"/>
        </w:rPr>
        <w:t xml:space="preserve">, </w:t>
      </w:r>
      <w:r w:rsidR="00EB6404">
        <w:rPr>
          <w:rFonts w:ascii="Arial" w:hAnsi="Arial" w:cs="Arial"/>
          <w:sz w:val="26"/>
          <w:szCs w:val="26"/>
        </w:rPr>
        <w:t>autorizado del</w:t>
      </w:r>
      <w:r>
        <w:rPr>
          <w:rFonts w:ascii="Arial" w:hAnsi="Arial" w:cs="Arial"/>
          <w:sz w:val="26"/>
          <w:szCs w:val="26"/>
        </w:rPr>
        <w:t xml:space="preserve"> </w:t>
      </w:r>
      <w:r>
        <w:rPr>
          <w:rFonts w:ascii="Arial" w:hAnsi="Arial" w:cs="Arial"/>
          <w:b/>
          <w:sz w:val="26"/>
          <w:szCs w:val="26"/>
        </w:rPr>
        <w:t>PRESIDENTE MUNICIPAL CONSTITUC</w:t>
      </w:r>
      <w:r w:rsidR="00C211C8">
        <w:rPr>
          <w:rFonts w:ascii="Arial" w:hAnsi="Arial" w:cs="Arial"/>
          <w:b/>
          <w:sz w:val="26"/>
          <w:szCs w:val="26"/>
        </w:rPr>
        <w:t>IONAL</w:t>
      </w:r>
      <w:r w:rsidR="007D1B39">
        <w:rPr>
          <w:rFonts w:ascii="Arial" w:hAnsi="Arial" w:cs="Arial"/>
          <w:b/>
          <w:sz w:val="26"/>
          <w:szCs w:val="26"/>
        </w:rPr>
        <w:t xml:space="preserve">, SÍNDICO DE GOBERNACIÓN Y REGLAMENTOS, SÍNDICA PROCURADORA Y HACENDARIA, TESORERO MUNICIPAL Y DIRECTOR DE RECURSOS HUMANOS, </w:t>
      </w:r>
      <w:r w:rsidR="007D1B39">
        <w:rPr>
          <w:rFonts w:ascii="Arial" w:hAnsi="Arial" w:cs="Arial"/>
          <w:sz w:val="26"/>
          <w:szCs w:val="26"/>
        </w:rPr>
        <w:t xml:space="preserve">todos del </w:t>
      </w:r>
      <w:r w:rsidR="007D1B39">
        <w:rPr>
          <w:rFonts w:ascii="Arial" w:hAnsi="Arial" w:cs="Arial"/>
          <w:b/>
          <w:sz w:val="26"/>
          <w:szCs w:val="26"/>
        </w:rPr>
        <w:t xml:space="preserve">H. AYUNTAMIENTO DE LA CIUDAD Y PUERTO </w:t>
      </w:r>
      <w:r w:rsidR="00C211C8">
        <w:rPr>
          <w:rFonts w:ascii="Arial" w:hAnsi="Arial" w:cs="Arial"/>
          <w:b/>
          <w:sz w:val="26"/>
          <w:szCs w:val="26"/>
        </w:rPr>
        <w:t xml:space="preserve"> DE SALINA CRUZ</w:t>
      </w:r>
      <w:r>
        <w:rPr>
          <w:rFonts w:ascii="Arial" w:hAnsi="Arial" w:cs="Arial"/>
          <w:b/>
          <w:sz w:val="26"/>
          <w:szCs w:val="26"/>
        </w:rPr>
        <w:t>,</w:t>
      </w:r>
      <w:r w:rsidR="00C211C8">
        <w:rPr>
          <w:rFonts w:ascii="Arial" w:hAnsi="Arial" w:cs="Arial"/>
          <w:b/>
          <w:sz w:val="26"/>
          <w:szCs w:val="26"/>
        </w:rPr>
        <w:t xml:space="preserve"> TEHUANTEPEC, OAXACA, </w:t>
      </w:r>
      <w:r>
        <w:rPr>
          <w:rFonts w:ascii="Arial" w:hAnsi="Arial" w:cs="Arial"/>
          <w:sz w:val="26"/>
          <w:szCs w:val="26"/>
        </w:rPr>
        <w:t xml:space="preserve">en contra del acuerdo de fecha </w:t>
      </w:r>
      <w:r w:rsidR="00C211C8">
        <w:rPr>
          <w:rFonts w:ascii="Arial" w:hAnsi="Arial" w:cs="Arial"/>
          <w:sz w:val="26"/>
          <w:szCs w:val="26"/>
        </w:rPr>
        <w:t>uno de diciembre</w:t>
      </w:r>
      <w:r>
        <w:rPr>
          <w:rFonts w:ascii="Arial" w:hAnsi="Arial" w:cs="Arial"/>
          <w:sz w:val="26"/>
          <w:szCs w:val="26"/>
        </w:rPr>
        <w:t xml:space="preserve"> de</w:t>
      </w:r>
      <w:r w:rsidR="001E752F">
        <w:rPr>
          <w:rFonts w:ascii="Arial" w:hAnsi="Arial" w:cs="Arial"/>
          <w:sz w:val="26"/>
          <w:szCs w:val="26"/>
        </w:rPr>
        <w:t xml:space="preserve"> </w:t>
      </w:r>
      <w:r>
        <w:rPr>
          <w:rFonts w:ascii="Arial" w:hAnsi="Arial" w:cs="Arial"/>
          <w:sz w:val="26"/>
          <w:szCs w:val="26"/>
        </w:rPr>
        <w:t xml:space="preserve">dos mil diecisiete, </w:t>
      </w:r>
      <w:r w:rsidRPr="00821CBD">
        <w:rPr>
          <w:rFonts w:ascii="Arial" w:hAnsi="Arial" w:cs="Arial"/>
          <w:sz w:val="26"/>
          <w:szCs w:val="26"/>
        </w:rPr>
        <w:t>dictad</w:t>
      </w:r>
      <w:r>
        <w:rPr>
          <w:rFonts w:ascii="Arial" w:hAnsi="Arial" w:cs="Arial"/>
          <w:sz w:val="26"/>
          <w:szCs w:val="26"/>
        </w:rPr>
        <w:t>o</w:t>
      </w:r>
      <w:r w:rsidRPr="00821CBD">
        <w:rPr>
          <w:rFonts w:ascii="Arial" w:hAnsi="Arial" w:cs="Arial"/>
          <w:sz w:val="26"/>
          <w:szCs w:val="26"/>
        </w:rPr>
        <w:t xml:space="preserve"> en el </w:t>
      </w:r>
      <w:r>
        <w:rPr>
          <w:rFonts w:ascii="Arial" w:hAnsi="Arial" w:cs="Arial"/>
          <w:sz w:val="26"/>
          <w:szCs w:val="26"/>
        </w:rPr>
        <w:t>expediente</w:t>
      </w:r>
      <w:r w:rsidRPr="00821CBD">
        <w:rPr>
          <w:rFonts w:ascii="Arial" w:hAnsi="Arial" w:cs="Arial"/>
          <w:sz w:val="26"/>
          <w:szCs w:val="26"/>
        </w:rPr>
        <w:t xml:space="preserve"> </w:t>
      </w:r>
      <w:r w:rsidR="00C211C8">
        <w:rPr>
          <w:rFonts w:ascii="Arial" w:hAnsi="Arial" w:cs="Arial"/>
          <w:b/>
          <w:sz w:val="26"/>
          <w:szCs w:val="26"/>
        </w:rPr>
        <w:t>0475</w:t>
      </w:r>
      <w:r>
        <w:rPr>
          <w:rFonts w:ascii="Arial" w:hAnsi="Arial" w:cs="Arial"/>
          <w:b/>
          <w:sz w:val="26"/>
          <w:szCs w:val="26"/>
        </w:rPr>
        <w:t xml:space="preserve">/2016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C211C8">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1166CE">
        <w:rPr>
          <w:rFonts w:ascii="Arial" w:hAnsi="Arial" w:cs="Arial"/>
          <w:b/>
          <w:sz w:val="26"/>
          <w:szCs w:val="26"/>
        </w:rPr>
        <w:t>**********</w:t>
      </w:r>
      <w:r w:rsidR="00097EEF">
        <w:rPr>
          <w:rFonts w:ascii="Arial" w:hAnsi="Arial" w:cs="Arial"/>
          <w:b/>
          <w:sz w:val="26"/>
          <w:szCs w:val="26"/>
        </w:rPr>
        <w:t>,</w:t>
      </w:r>
      <w:r w:rsidR="00097EEF" w:rsidRPr="00EB45A2">
        <w:rPr>
          <w:rFonts w:ascii="Arial" w:hAnsi="Arial" w:cs="Arial"/>
          <w:b/>
          <w:sz w:val="26"/>
          <w:szCs w:val="26"/>
        </w:rPr>
        <w:t xml:space="preserve"> </w:t>
      </w:r>
      <w:r w:rsidR="001166CE">
        <w:rPr>
          <w:rFonts w:ascii="Arial" w:hAnsi="Arial" w:cs="Arial"/>
          <w:b/>
          <w:sz w:val="26"/>
          <w:szCs w:val="26"/>
        </w:rPr>
        <w:t>**********</w:t>
      </w:r>
      <w:r w:rsidR="00097EEF" w:rsidRPr="00EB45A2">
        <w:rPr>
          <w:rFonts w:ascii="Arial" w:hAnsi="Arial" w:cs="Arial"/>
          <w:b/>
          <w:sz w:val="26"/>
          <w:szCs w:val="26"/>
        </w:rPr>
        <w:t xml:space="preserve">, </w:t>
      </w:r>
      <w:r w:rsidR="001166CE">
        <w:rPr>
          <w:rFonts w:ascii="Arial" w:hAnsi="Arial" w:cs="Arial"/>
          <w:b/>
          <w:sz w:val="26"/>
          <w:szCs w:val="26"/>
        </w:rPr>
        <w:t>**********</w:t>
      </w:r>
      <w:r w:rsidR="00097EEF" w:rsidRPr="00EB45A2">
        <w:rPr>
          <w:rFonts w:ascii="Arial" w:hAnsi="Arial" w:cs="Arial"/>
          <w:b/>
          <w:sz w:val="26"/>
          <w:szCs w:val="26"/>
        </w:rPr>
        <w:t xml:space="preserve">, </w:t>
      </w:r>
      <w:r w:rsidR="001166CE">
        <w:rPr>
          <w:rFonts w:ascii="Arial" w:hAnsi="Arial" w:cs="Arial"/>
          <w:b/>
          <w:sz w:val="26"/>
          <w:szCs w:val="26"/>
        </w:rPr>
        <w:t>**********</w:t>
      </w:r>
      <w:r w:rsidR="00097EEF" w:rsidRPr="00EB45A2">
        <w:rPr>
          <w:rFonts w:ascii="Arial" w:hAnsi="Arial" w:cs="Arial"/>
          <w:b/>
          <w:sz w:val="26"/>
          <w:szCs w:val="26"/>
        </w:rPr>
        <w:t xml:space="preserve">, </w:t>
      </w:r>
      <w:r w:rsidR="001166CE">
        <w:rPr>
          <w:rFonts w:ascii="Arial" w:hAnsi="Arial" w:cs="Arial"/>
          <w:b/>
          <w:sz w:val="26"/>
          <w:szCs w:val="26"/>
        </w:rPr>
        <w:t>**********</w:t>
      </w:r>
      <w:r w:rsidR="00097EEF" w:rsidRPr="00EB45A2">
        <w:rPr>
          <w:rFonts w:ascii="Arial" w:hAnsi="Arial" w:cs="Arial"/>
          <w:b/>
          <w:sz w:val="26"/>
          <w:szCs w:val="26"/>
        </w:rPr>
        <w:t xml:space="preserve">, </w:t>
      </w:r>
      <w:r w:rsidR="001166CE">
        <w:rPr>
          <w:rFonts w:ascii="Arial" w:hAnsi="Arial" w:cs="Arial"/>
          <w:b/>
          <w:sz w:val="26"/>
          <w:szCs w:val="26"/>
        </w:rPr>
        <w:t>**********</w:t>
      </w:r>
      <w:r w:rsidR="00097EEF">
        <w:rPr>
          <w:rFonts w:ascii="Arial" w:hAnsi="Arial" w:cs="Arial"/>
          <w:b/>
          <w:sz w:val="26"/>
          <w:szCs w:val="26"/>
        </w:rPr>
        <w:t xml:space="preserve">, </w:t>
      </w:r>
      <w:r w:rsidR="001166CE">
        <w:rPr>
          <w:rFonts w:ascii="Arial" w:hAnsi="Arial" w:cs="Arial"/>
          <w:b/>
          <w:sz w:val="26"/>
          <w:szCs w:val="26"/>
        </w:rPr>
        <w:t>**********</w:t>
      </w:r>
      <w:r w:rsidR="00097EEF" w:rsidRPr="00EB45A2">
        <w:rPr>
          <w:rFonts w:ascii="Arial" w:hAnsi="Arial" w:cs="Arial"/>
          <w:b/>
          <w:sz w:val="26"/>
          <w:szCs w:val="26"/>
        </w:rPr>
        <w:t xml:space="preserve">, </w:t>
      </w:r>
      <w:r w:rsidR="001166CE">
        <w:rPr>
          <w:rFonts w:ascii="Arial" w:hAnsi="Arial" w:cs="Arial"/>
          <w:b/>
          <w:sz w:val="26"/>
          <w:szCs w:val="26"/>
        </w:rPr>
        <w:t>**********</w:t>
      </w:r>
      <w:r w:rsidR="00097EEF">
        <w:rPr>
          <w:rFonts w:ascii="Arial" w:hAnsi="Arial" w:cs="Arial"/>
          <w:b/>
          <w:sz w:val="26"/>
          <w:szCs w:val="26"/>
        </w:rPr>
        <w:t xml:space="preserve">, </w:t>
      </w:r>
      <w:r w:rsidR="001166CE">
        <w:rPr>
          <w:rFonts w:ascii="Arial" w:hAnsi="Arial" w:cs="Arial"/>
          <w:b/>
          <w:sz w:val="26"/>
          <w:szCs w:val="26"/>
        </w:rPr>
        <w:t>**********</w:t>
      </w:r>
      <w:r w:rsidR="00097EEF">
        <w:rPr>
          <w:rFonts w:ascii="Arial" w:hAnsi="Arial" w:cs="Arial"/>
          <w:b/>
          <w:sz w:val="26"/>
          <w:szCs w:val="26"/>
        </w:rPr>
        <w:t xml:space="preserve"> Y</w:t>
      </w:r>
      <w:r w:rsidR="00097EEF" w:rsidRPr="00EB45A2">
        <w:rPr>
          <w:rFonts w:ascii="Arial" w:hAnsi="Arial" w:cs="Arial"/>
          <w:b/>
          <w:sz w:val="26"/>
          <w:szCs w:val="26"/>
        </w:rPr>
        <w:t xml:space="preserve"> </w:t>
      </w:r>
      <w:r w:rsidR="001166CE">
        <w:rPr>
          <w:rFonts w:ascii="Arial" w:hAnsi="Arial" w:cs="Arial"/>
          <w:b/>
          <w:sz w:val="26"/>
          <w:szCs w:val="26"/>
        </w:rPr>
        <w:t>**********</w:t>
      </w:r>
      <w:r w:rsidR="00FA5633">
        <w:rPr>
          <w:rFonts w:ascii="Arial" w:hAnsi="Arial" w:cs="Arial"/>
          <w:b/>
          <w:sz w:val="26"/>
          <w:szCs w:val="26"/>
        </w:rPr>
        <w:t xml:space="preserve"> </w:t>
      </w:r>
      <w:r w:rsidR="00FA5633">
        <w:rPr>
          <w:rFonts w:ascii="Arial" w:hAnsi="Arial" w:cs="Arial"/>
          <w:sz w:val="26"/>
          <w:szCs w:val="26"/>
        </w:rPr>
        <w:t xml:space="preserve">en contra del  </w:t>
      </w:r>
      <w:r w:rsidR="003A47E9" w:rsidRPr="008548BD">
        <w:rPr>
          <w:rFonts w:ascii="Arial" w:hAnsi="Arial" w:cs="Arial"/>
          <w:b/>
          <w:sz w:val="26"/>
          <w:szCs w:val="26"/>
        </w:rPr>
        <w:t>H. AYUNTAM</w:t>
      </w:r>
      <w:r w:rsidR="00FA5633" w:rsidRPr="008548BD">
        <w:rPr>
          <w:rFonts w:ascii="Arial" w:hAnsi="Arial" w:cs="Arial"/>
          <w:b/>
          <w:sz w:val="26"/>
          <w:szCs w:val="26"/>
        </w:rPr>
        <w:t>IENTO, PRE</w:t>
      </w:r>
      <w:r w:rsidR="00391E86">
        <w:rPr>
          <w:rFonts w:ascii="Arial" w:hAnsi="Arial" w:cs="Arial"/>
          <w:b/>
          <w:sz w:val="26"/>
          <w:szCs w:val="26"/>
        </w:rPr>
        <w:t>SIDENTE MUNICIPAL, SÍNDICO DE GO</w:t>
      </w:r>
      <w:r w:rsidR="00FA5633" w:rsidRPr="008548BD">
        <w:rPr>
          <w:rFonts w:ascii="Arial" w:hAnsi="Arial" w:cs="Arial"/>
          <w:b/>
          <w:sz w:val="26"/>
          <w:szCs w:val="26"/>
        </w:rPr>
        <w:t>BERNACIÓN, TESORERO MUNICIPAL Y DI</w:t>
      </w:r>
      <w:r w:rsidR="000844D3">
        <w:rPr>
          <w:rFonts w:ascii="Arial" w:hAnsi="Arial" w:cs="Arial"/>
          <w:b/>
          <w:sz w:val="26"/>
          <w:szCs w:val="26"/>
        </w:rPr>
        <w:t>RECTOR DE RECURSOS HUMANOS, todo</w:t>
      </w:r>
      <w:r w:rsidR="00FA5633" w:rsidRPr="008548BD">
        <w:rPr>
          <w:rFonts w:ascii="Arial" w:hAnsi="Arial" w:cs="Arial"/>
          <w:b/>
          <w:sz w:val="26"/>
          <w:szCs w:val="26"/>
        </w:rPr>
        <w:t>s del PUERTO DE SALINA CRUZ, OAXACA,</w:t>
      </w:r>
      <w:r w:rsidR="00FA5633">
        <w:rPr>
          <w:rFonts w:ascii="Arial" w:hAnsi="Arial" w:cs="Arial"/>
          <w:b/>
          <w:sz w:val="26"/>
          <w:szCs w:val="26"/>
        </w:rPr>
        <w:t xml:space="preserve"> </w:t>
      </w:r>
      <w:r w:rsidR="00FA5633" w:rsidRPr="00372D3D">
        <w:rPr>
          <w:rFonts w:ascii="Arial" w:hAnsi="Arial" w:cs="Arial"/>
          <w:sz w:val="26"/>
          <w:szCs w:val="26"/>
        </w:rPr>
        <w:t xml:space="preserve">por lo que con fundamento en los artículos 207 y 208, de la Ley de Justicia Administrativa para el Estado de Oaxaca, </w:t>
      </w:r>
      <w:r w:rsidR="001E752F">
        <w:rPr>
          <w:rFonts w:ascii="Arial" w:hAnsi="Arial" w:cs="Arial"/>
          <w:sz w:val="26"/>
          <w:szCs w:val="26"/>
        </w:rPr>
        <w:t xml:space="preserve">vigente hasta el veinte de octubre de dos mil diecisiete, </w:t>
      </w:r>
      <w:r w:rsidR="00FA5633" w:rsidRPr="00372D3D">
        <w:rPr>
          <w:rFonts w:ascii="Arial" w:hAnsi="Arial" w:cs="Arial"/>
          <w:sz w:val="26"/>
          <w:szCs w:val="26"/>
        </w:rPr>
        <w:t>se admite. En consecuencia, se procede a dictar resolu</w:t>
      </w:r>
      <w:r w:rsidR="00FA5633">
        <w:rPr>
          <w:rFonts w:ascii="Arial" w:hAnsi="Arial" w:cs="Arial"/>
          <w:sz w:val="26"/>
          <w:szCs w:val="26"/>
        </w:rPr>
        <w:t>ci</w:t>
      </w:r>
      <w:r w:rsidR="001E752F">
        <w:rPr>
          <w:rFonts w:ascii="Arial" w:hAnsi="Arial" w:cs="Arial"/>
          <w:sz w:val="26"/>
          <w:szCs w:val="26"/>
        </w:rPr>
        <w:t>ón en los siguientes términos:</w:t>
      </w:r>
    </w:p>
    <w:p w:rsidR="001E752F" w:rsidRDefault="00D629AA" w:rsidP="001E752F">
      <w:pPr>
        <w:spacing w:line="360" w:lineRule="auto"/>
        <w:ind w:firstLine="708"/>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1E752F" w:rsidRDefault="00D629AA" w:rsidP="007C0D3B">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Inc</w:t>
      </w:r>
      <w:r w:rsidR="001E752F">
        <w:rPr>
          <w:rFonts w:ascii="Arial" w:hAnsi="Arial" w:cs="Arial"/>
          <w:sz w:val="26"/>
          <w:szCs w:val="26"/>
        </w:rPr>
        <w:t xml:space="preserve">onforme con el acuerdo de fecha </w:t>
      </w:r>
      <w:r w:rsidR="00A65D8C">
        <w:rPr>
          <w:rFonts w:ascii="Arial" w:hAnsi="Arial" w:cs="Arial"/>
          <w:sz w:val="26"/>
          <w:szCs w:val="26"/>
        </w:rPr>
        <w:t>uno de diciembre</w:t>
      </w:r>
      <w:r w:rsidR="001E752F">
        <w:rPr>
          <w:rFonts w:ascii="Arial" w:hAnsi="Arial" w:cs="Arial"/>
          <w:sz w:val="26"/>
          <w:szCs w:val="26"/>
        </w:rPr>
        <w:t xml:space="preserve"> </w:t>
      </w:r>
      <w:r>
        <w:rPr>
          <w:rFonts w:ascii="Arial" w:hAnsi="Arial" w:cs="Arial"/>
          <w:sz w:val="26"/>
          <w:szCs w:val="26"/>
        </w:rPr>
        <w:t>de dos mil diecisiete,</w:t>
      </w:r>
      <w:r w:rsidRPr="00372D3D">
        <w:rPr>
          <w:rFonts w:ascii="Arial" w:hAnsi="Arial" w:cs="Arial"/>
          <w:sz w:val="26"/>
          <w:szCs w:val="26"/>
        </w:rPr>
        <w:t xml:space="preserve"> dictad</w:t>
      </w:r>
      <w:r>
        <w:rPr>
          <w:rFonts w:ascii="Arial" w:hAnsi="Arial" w:cs="Arial"/>
          <w:sz w:val="26"/>
          <w:szCs w:val="26"/>
        </w:rPr>
        <w:t xml:space="preserve">o por </w:t>
      </w:r>
      <w:r w:rsidR="00A65D8C">
        <w:rPr>
          <w:rFonts w:ascii="Arial" w:hAnsi="Arial" w:cs="Arial"/>
          <w:sz w:val="26"/>
          <w:szCs w:val="26"/>
        </w:rPr>
        <w:t>l</w:t>
      </w:r>
      <w:r w:rsidR="008954C8">
        <w:rPr>
          <w:rFonts w:ascii="Arial" w:hAnsi="Arial" w:cs="Arial"/>
          <w:sz w:val="26"/>
          <w:szCs w:val="26"/>
        </w:rPr>
        <w:t>a</w:t>
      </w:r>
      <w:r>
        <w:rPr>
          <w:rFonts w:ascii="Arial" w:hAnsi="Arial" w:cs="Arial"/>
          <w:sz w:val="26"/>
          <w:szCs w:val="26"/>
        </w:rPr>
        <w:t xml:space="preserve"> Titular de la </w:t>
      </w:r>
      <w:r w:rsidR="00A65D8C">
        <w:rPr>
          <w:rFonts w:ascii="Arial" w:hAnsi="Arial" w:cs="Arial"/>
          <w:sz w:val="26"/>
          <w:szCs w:val="26"/>
        </w:rPr>
        <w:t>Tercera</w:t>
      </w:r>
      <w:r>
        <w:rPr>
          <w:rFonts w:ascii="Arial" w:hAnsi="Arial" w:cs="Arial"/>
          <w:sz w:val="26"/>
          <w:szCs w:val="26"/>
        </w:rPr>
        <w:t xml:space="preserve"> Sala Unitaria de Primera Instancia de este Tribunal, </w:t>
      </w:r>
      <w:r w:rsidR="008954C8" w:rsidRPr="008954C8">
        <w:rPr>
          <w:rFonts w:ascii="Arial" w:hAnsi="Arial" w:cs="Arial"/>
          <w:sz w:val="26"/>
          <w:szCs w:val="26"/>
        </w:rPr>
        <w:t>el Licenciado</w:t>
      </w:r>
      <w:r w:rsidR="008954C8">
        <w:rPr>
          <w:rFonts w:ascii="Arial" w:hAnsi="Arial" w:cs="Arial"/>
          <w:b/>
          <w:sz w:val="26"/>
          <w:szCs w:val="26"/>
        </w:rPr>
        <w:t xml:space="preserve"> </w:t>
      </w:r>
      <w:r w:rsidR="008954C8" w:rsidRPr="008954C8">
        <w:rPr>
          <w:rFonts w:ascii="Arial" w:hAnsi="Arial" w:cs="Arial"/>
          <w:b/>
          <w:sz w:val="26"/>
          <w:szCs w:val="26"/>
        </w:rPr>
        <w:t>FRANCISCO JAVIER FABIÁN YESCA</w:t>
      </w:r>
      <w:r w:rsidR="008954C8">
        <w:rPr>
          <w:rFonts w:ascii="Arial" w:hAnsi="Arial" w:cs="Arial"/>
          <w:b/>
          <w:sz w:val="26"/>
          <w:szCs w:val="26"/>
        </w:rPr>
        <w:t xml:space="preserve">, </w:t>
      </w:r>
      <w:r w:rsidR="008954C8">
        <w:rPr>
          <w:rFonts w:ascii="Arial" w:hAnsi="Arial" w:cs="Arial"/>
          <w:sz w:val="26"/>
          <w:szCs w:val="26"/>
        </w:rPr>
        <w:t xml:space="preserve">autorizado del </w:t>
      </w:r>
      <w:r w:rsidR="008954C8">
        <w:rPr>
          <w:rFonts w:ascii="Arial" w:hAnsi="Arial" w:cs="Arial"/>
          <w:b/>
          <w:sz w:val="26"/>
          <w:szCs w:val="26"/>
        </w:rPr>
        <w:t xml:space="preserve">PRESIDENTE MUNICIPAL CONSTITUCIONAL, SÍNDICO DE GOBERNACIÓN Y REGLAMENTOS, SÍNDICA PROCURADORA Y HACENDARIA, </w:t>
      </w:r>
      <w:r w:rsidR="008954C8">
        <w:rPr>
          <w:rFonts w:ascii="Arial" w:hAnsi="Arial" w:cs="Arial"/>
          <w:b/>
          <w:sz w:val="26"/>
          <w:szCs w:val="26"/>
        </w:rPr>
        <w:lastRenderedPageBreak/>
        <w:t xml:space="preserve">TESORERO MUNICIPAL Y DIRECTOR DE RECURSOS HUMANOS, </w:t>
      </w:r>
      <w:r w:rsidR="008954C8">
        <w:rPr>
          <w:rFonts w:ascii="Arial" w:hAnsi="Arial" w:cs="Arial"/>
          <w:sz w:val="26"/>
          <w:szCs w:val="26"/>
        </w:rPr>
        <w:t xml:space="preserve">todos del </w:t>
      </w:r>
      <w:r w:rsidR="008954C8">
        <w:rPr>
          <w:rFonts w:ascii="Arial" w:hAnsi="Arial" w:cs="Arial"/>
          <w:b/>
          <w:sz w:val="26"/>
          <w:szCs w:val="26"/>
        </w:rPr>
        <w:t xml:space="preserve">H. AYUNTAMIENTO DE LA CIUDAD Y PUERTO  DE SALINA CRUZ, TEHUANTEPEC, OAXACA, </w:t>
      </w:r>
      <w:r w:rsidR="00FE6AF5">
        <w:rPr>
          <w:rFonts w:ascii="Arial" w:hAnsi="Arial" w:cs="Arial"/>
          <w:sz w:val="26"/>
          <w:szCs w:val="26"/>
        </w:rPr>
        <w:t>interpuso</w:t>
      </w:r>
      <w:r>
        <w:rPr>
          <w:rFonts w:ascii="Arial" w:hAnsi="Arial" w:cs="Arial"/>
          <w:sz w:val="26"/>
          <w:szCs w:val="26"/>
        </w:rPr>
        <w:t xml:space="preserve"> </w:t>
      </w:r>
      <w:r w:rsidRPr="00372D3D">
        <w:rPr>
          <w:rFonts w:ascii="Arial" w:hAnsi="Arial" w:cs="Arial"/>
          <w:sz w:val="26"/>
          <w:szCs w:val="26"/>
        </w:rPr>
        <w:t>en</w:t>
      </w:r>
      <w:r>
        <w:rPr>
          <w:rFonts w:ascii="Arial" w:hAnsi="Arial" w:cs="Arial"/>
          <w:sz w:val="26"/>
          <w:szCs w:val="26"/>
        </w:rPr>
        <w:t xml:space="preserve"> su co</w:t>
      </w:r>
      <w:r w:rsidR="00A65D8C">
        <w:rPr>
          <w:rFonts w:ascii="Arial" w:hAnsi="Arial" w:cs="Arial"/>
          <w:sz w:val="26"/>
          <w:szCs w:val="26"/>
        </w:rPr>
        <w:t>ntra recurso de revisión.</w:t>
      </w:r>
    </w:p>
    <w:p w:rsidR="001E752F" w:rsidRDefault="00D629AA" w:rsidP="001E752F">
      <w:pPr>
        <w:spacing w:line="360" w:lineRule="auto"/>
        <w:ind w:firstLine="708"/>
        <w:jc w:val="both"/>
        <w:rPr>
          <w:rFonts w:ascii="Arial" w:eastAsia="Calibri" w:hAnsi="Arial" w:cs="Arial"/>
          <w:sz w:val="26"/>
          <w:szCs w:val="26"/>
        </w:rPr>
      </w:pPr>
      <w:r>
        <w:rPr>
          <w:rFonts w:ascii="Arial" w:hAnsi="Arial" w:cs="Arial"/>
          <w:b/>
          <w:bCs/>
          <w:sz w:val="26"/>
          <w:szCs w:val="26"/>
        </w:rPr>
        <w:t>SEGUNDO.</w:t>
      </w:r>
      <w:r w:rsidRPr="006E349D">
        <w:rPr>
          <w:rFonts w:ascii="Arial" w:hAnsi="Arial" w:cs="Arial"/>
          <w:b/>
          <w:bCs/>
          <w:sz w:val="26"/>
          <w:szCs w:val="26"/>
        </w:rPr>
        <w:t xml:space="preserve"> </w:t>
      </w:r>
      <w:r w:rsidR="00F7247E">
        <w:rPr>
          <w:rFonts w:ascii="Arial" w:hAnsi="Arial" w:cs="Arial"/>
          <w:bCs/>
          <w:sz w:val="26"/>
          <w:szCs w:val="26"/>
        </w:rPr>
        <w:t>La parte relativa de</w:t>
      </w:r>
      <w:r>
        <w:rPr>
          <w:rFonts w:ascii="Arial" w:hAnsi="Arial" w:cs="Arial"/>
          <w:bCs/>
          <w:sz w:val="26"/>
          <w:szCs w:val="26"/>
        </w:rPr>
        <w:t>l acuerdo</w:t>
      </w:r>
      <w:r>
        <w:rPr>
          <w:rFonts w:ascii="Arial" w:hAnsi="Arial" w:cs="Arial"/>
          <w:sz w:val="26"/>
          <w:szCs w:val="26"/>
        </w:rPr>
        <w:t xml:space="preserve"> recurrido, es del tenor literal siguiente</w:t>
      </w:r>
      <w:r w:rsidR="001E752F">
        <w:rPr>
          <w:rFonts w:ascii="Arial" w:eastAsia="Calibri" w:hAnsi="Arial" w:cs="Arial"/>
          <w:sz w:val="26"/>
          <w:szCs w:val="26"/>
        </w:rPr>
        <w:t>:</w:t>
      </w:r>
    </w:p>
    <w:p w:rsidR="001E752F" w:rsidRDefault="001E752F" w:rsidP="001E752F">
      <w:pPr>
        <w:spacing w:line="360" w:lineRule="auto"/>
        <w:ind w:firstLine="708"/>
        <w:jc w:val="both"/>
        <w:rPr>
          <w:rFonts w:ascii="Arial" w:eastAsia="Calibri" w:hAnsi="Arial" w:cs="Arial"/>
          <w:sz w:val="26"/>
          <w:szCs w:val="26"/>
        </w:rPr>
      </w:pPr>
    </w:p>
    <w:p w:rsidR="00F24E8C" w:rsidRPr="00F24E8C" w:rsidRDefault="001E752F" w:rsidP="001E752F">
      <w:pPr>
        <w:widowControl w:val="0"/>
        <w:tabs>
          <w:tab w:val="left" w:pos="7938"/>
        </w:tabs>
        <w:spacing w:line="360" w:lineRule="auto"/>
        <w:ind w:left="851" w:right="616"/>
        <w:jc w:val="both"/>
        <w:rPr>
          <w:rFonts w:ascii="Arial" w:eastAsia="Times New Roman" w:hAnsi="Arial" w:cs="Arial"/>
          <w:b/>
          <w:bCs/>
          <w:i/>
          <w:iCs/>
          <w:lang w:eastAsia="es-ES"/>
        </w:rPr>
      </w:pPr>
      <w:r w:rsidRPr="00FA5280">
        <w:rPr>
          <w:rFonts w:ascii="Arial" w:eastAsia="Times New Roman" w:hAnsi="Arial" w:cs="Arial"/>
          <w:bCs/>
          <w:i/>
          <w:iCs/>
          <w:lang w:eastAsia="es-ES"/>
        </w:rPr>
        <w:t xml:space="preserve"> </w:t>
      </w:r>
      <w:r w:rsidR="00D629AA" w:rsidRPr="00FA5280">
        <w:rPr>
          <w:rFonts w:ascii="Arial" w:eastAsia="Times New Roman" w:hAnsi="Arial" w:cs="Arial"/>
          <w:bCs/>
          <w:i/>
          <w:iCs/>
          <w:lang w:eastAsia="es-ES"/>
        </w:rPr>
        <w:t>“</w:t>
      </w:r>
      <w:r w:rsidR="00F24E8C">
        <w:rPr>
          <w:rFonts w:ascii="Arial" w:eastAsia="Times New Roman" w:hAnsi="Arial" w:cs="Arial"/>
          <w:b/>
          <w:bCs/>
          <w:i/>
          <w:iCs/>
          <w:lang w:eastAsia="es-ES"/>
        </w:rPr>
        <w:t xml:space="preserve">Oaxaca de Juárez, Oaxaca, a 1 uno de diciembre de 2017 dos mil diecisiete.- - - - - - - - - - - - - - -  - - - - - - - - - - - - - - - - - - - - - </w:t>
      </w:r>
    </w:p>
    <w:p w:rsidR="00D629AA" w:rsidRDefault="00F24E8C" w:rsidP="00D629AA">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Arial" w:eastAsia="Times New Roman" w:hAnsi="Arial" w:cs="Arial"/>
          <w:bCs/>
          <w:i/>
          <w:iCs/>
          <w:lang w:eastAsia="es-ES"/>
        </w:rPr>
        <w:t xml:space="preserve">       </w:t>
      </w:r>
      <w:r w:rsidR="00D629AA" w:rsidRPr="00FA5280">
        <w:rPr>
          <w:rFonts w:ascii="Arial" w:eastAsia="Times New Roman" w:hAnsi="Arial" w:cs="Arial"/>
          <w:bCs/>
          <w:i/>
          <w:iCs/>
          <w:lang w:eastAsia="es-ES"/>
        </w:rPr>
        <w:t>[…]</w:t>
      </w:r>
    </w:p>
    <w:p w:rsidR="00F24E8C" w:rsidRDefault="00F24E8C" w:rsidP="00A65D8C">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Arial" w:eastAsia="Times New Roman" w:hAnsi="Arial" w:cs="Arial"/>
          <w:bCs/>
          <w:i/>
          <w:iCs/>
          <w:lang w:eastAsia="es-ES"/>
        </w:rPr>
        <w:t xml:space="preserve">       Con los escritos del presidente, síndica, tesorero municipal y director, </w:t>
      </w:r>
      <w:r>
        <w:rPr>
          <w:rFonts w:ascii="Arial" w:eastAsia="Times New Roman" w:hAnsi="Arial" w:cs="Arial"/>
          <w:b/>
          <w:bCs/>
          <w:i/>
          <w:iCs/>
          <w:lang w:eastAsia="es-ES"/>
        </w:rPr>
        <w:t xml:space="preserve">se les tiene contestando la demanda de nulidad del actor, </w:t>
      </w:r>
      <w:r>
        <w:rPr>
          <w:rFonts w:ascii="Arial" w:eastAsia="Times New Roman" w:hAnsi="Arial" w:cs="Arial"/>
          <w:bCs/>
          <w:i/>
          <w:iCs/>
          <w:lang w:eastAsia="es-ES"/>
        </w:rPr>
        <w:t xml:space="preserve">haciendo valer sus argumentos y defensas, medios de defensa que esta sala analizará al momento de dictarse la sentencia que se emita en el presente juicio. …”- - - - - - - - - - - - - - - - - - - - - - -     </w:t>
      </w:r>
    </w:p>
    <w:p w:rsidR="001E752F" w:rsidRDefault="008A59EA" w:rsidP="00A65D8C">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70D6676" wp14:editId="7820762F">
                <wp:simplePos x="0" y="0"/>
                <wp:positionH relativeFrom="column">
                  <wp:posOffset>5507990</wp:posOffset>
                </wp:positionH>
                <wp:positionV relativeFrom="paragraph">
                  <wp:posOffset>3302000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A59EA" w:rsidRDefault="008A59EA" w:rsidP="008A59E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3.7pt;margin-top:260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">
                <v:textbox>
                  <w:txbxContent>
                    <w:p w:rsidR="008A59EA" w:rsidRDefault="008A59EA" w:rsidP="008A59EA">
                      <w:pPr>
                        <w:rPr>
                          <w:sz w:val="16"/>
                          <w:szCs w:val="16"/>
                        </w:rPr>
                      </w:pPr>
                      <w:r>
                        <w:rPr>
                          <w:sz w:val="16"/>
                          <w:szCs w:val="16"/>
                        </w:rPr>
                        <w:t>Datos personales protegidos por el Art. 116 de la LGTAIP y el Art. 56 de la LTAIPEO</w:t>
                      </w:r>
                    </w:p>
                  </w:txbxContent>
                </v:textbox>
              </v:shape>
            </w:pict>
          </mc:Fallback>
        </mc:AlternateContent>
      </w:r>
      <w:r w:rsidR="00F24E8C">
        <w:rPr>
          <w:rFonts w:ascii="Arial" w:eastAsia="Times New Roman" w:hAnsi="Arial" w:cs="Arial"/>
          <w:bCs/>
          <w:i/>
          <w:iCs/>
          <w:lang w:eastAsia="es-ES"/>
        </w:rPr>
        <w:t xml:space="preserve">     […]</w:t>
      </w:r>
      <w:r w:rsidR="00F24E8C">
        <w:rPr>
          <w:rFonts w:ascii="Arial" w:eastAsia="Times New Roman" w:hAnsi="Arial" w:cs="Arial"/>
          <w:bCs/>
          <w:i/>
          <w:iCs/>
          <w:lang w:eastAsia="es-ES"/>
        </w:rPr>
        <w:br/>
        <w:t xml:space="preserve">          </w:t>
      </w:r>
      <w:r w:rsidR="00A65D8C">
        <w:rPr>
          <w:rFonts w:ascii="Arial" w:eastAsia="Times New Roman" w:hAnsi="Arial" w:cs="Arial"/>
          <w:bCs/>
          <w:i/>
          <w:iCs/>
          <w:lang w:eastAsia="es-ES"/>
        </w:rPr>
        <w:t>No se tiene por objetadas las pruebas del actor, tal como lo pretenden hacer el Presidente Municipal, Síndica Procuradora y Hacendaria, la persona que se ostenta como Síndico de Gobernación y Reglamentos, el Tesorero Municipal y el Director de Recursos Humanos, autoridades de Salina Cruz, Tehuantepec, Oaxaca, esto es así, porque el plazo de los cinco días hábiles a que se refiere el artículo 163 de la ley de justicia administrativa citada, feneció el 8 ocho de septiembre de 2017 dos mil diecisiete, fecha hasta la que tuvieron las autoridades demandadas para objetar las pruebas de la parte actora que se mandaron agregar a los autos mediante acuerdo de 18 dieciocho de agosto del año en curso, esto es así, en virtud de que sus promociones de objeción fueron presentados el 19 diecinueve de septiembre del año que trascurre, días después del vencimiento de los cinco días citados</w:t>
      </w:r>
      <w:r w:rsidR="00D629AA">
        <w:rPr>
          <w:rFonts w:ascii="Arial" w:eastAsia="Times New Roman" w:hAnsi="Arial" w:cs="Arial"/>
          <w:bCs/>
          <w:i/>
          <w:iCs/>
          <w:lang w:eastAsia="es-ES"/>
        </w:rPr>
        <w:t>”. - - - - - - - - --  - -- - -  - - - - - - -</w:t>
      </w:r>
    </w:p>
    <w:p w:rsidR="00D629AA" w:rsidRDefault="00EA3B91" w:rsidP="00A65D8C">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Arial" w:eastAsia="Times New Roman" w:hAnsi="Arial" w:cs="Arial"/>
          <w:bCs/>
          <w:i/>
          <w:iCs/>
          <w:lang w:eastAsia="es-ES"/>
        </w:rPr>
        <w:t xml:space="preserve"> </w:t>
      </w:r>
    </w:p>
    <w:p w:rsidR="001E752F" w:rsidRDefault="00D629AA" w:rsidP="001E752F">
      <w:pPr>
        <w:widowControl w:val="0"/>
        <w:tabs>
          <w:tab w:val="left" w:pos="7938"/>
        </w:tabs>
        <w:spacing w:line="360" w:lineRule="auto"/>
        <w:ind w:right="-234"/>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1E752F" w:rsidRDefault="001E752F" w:rsidP="001E752F">
      <w:pPr>
        <w:widowControl w:val="0"/>
        <w:tabs>
          <w:tab w:val="left" w:pos="7938"/>
        </w:tabs>
        <w:spacing w:line="360" w:lineRule="auto"/>
        <w:ind w:right="-234"/>
        <w:jc w:val="center"/>
        <w:rPr>
          <w:rFonts w:ascii="Arial" w:eastAsia="Times New Roman" w:hAnsi="Arial" w:cs="Arial"/>
          <w:b/>
          <w:bCs/>
          <w:sz w:val="26"/>
          <w:szCs w:val="26"/>
          <w:lang w:eastAsia="es-ES"/>
        </w:rPr>
      </w:pPr>
    </w:p>
    <w:p w:rsidR="001E752F" w:rsidRDefault="001E752F" w:rsidP="001A35E8">
      <w:pPr>
        <w:widowControl w:val="0"/>
        <w:tabs>
          <w:tab w:val="left" w:pos="7938"/>
          <w:tab w:val="left" w:pos="8222"/>
        </w:tabs>
        <w:spacing w:after="120" w:line="360" w:lineRule="auto"/>
        <w:ind w:right="49"/>
        <w:jc w:val="both"/>
        <w:rPr>
          <w:rFonts w:ascii="Arial" w:hAnsi="Arial" w:cs="Arial"/>
          <w:b/>
          <w:bCs/>
          <w:iCs/>
          <w:sz w:val="26"/>
          <w:szCs w:val="26"/>
        </w:rPr>
      </w:pPr>
      <w:r>
        <w:rPr>
          <w:rFonts w:ascii="Arial" w:hAnsi="Arial" w:cs="Arial"/>
          <w:b/>
          <w:bCs/>
          <w:iCs/>
          <w:sz w:val="26"/>
          <w:szCs w:val="26"/>
        </w:rPr>
        <w:t xml:space="preserve">           </w:t>
      </w:r>
      <w:r w:rsidRPr="007E7CF9">
        <w:rPr>
          <w:rFonts w:ascii="Arial" w:hAnsi="Arial" w:cs="Arial"/>
          <w:b/>
          <w:bCs/>
          <w:iCs/>
          <w:sz w:val="26"/>
          <w:szCs w:val="26"/>
        </w:rPr>
        <w:t xml:space="preserve">PRIMERO. </w:t>
      </w:r>
      <w:r w:rsidRPr="007E7CF9">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w:t>
      </w:r>
      <w:r>
        <w:rPr>
          <w:rFonts w:ascii="Arial" w:hAnsi="Arial" w:cs="Arial"/>
          <w:bCs/>
          <w:iCs/>
          <w:sz w:val="26"/>
          <w:szCs w:val="26"/>
          <w:lang w:eastAsia="es-ES"/>
        </w:rPr>
        <w:t xml:space="preserve"> del Periódico Oficial de fecha</w:t>
      </w:r>
      <w:r w:rsidRPr="007E7CF9">
        <w:rPr>
          <w:rFonts w:ascii="Arial" w:hAnsi="Arial" w:cs="Arial"/>
          <w:bCs/>
          <w:iCs/>
          <w:sz w:val="26"/>
          <w:szCs w:val="26"/>
          <w:lang w:eastAsia="es-ES"/>
        </w:rPr>
        <w:t xml:space="preserve"> veinte de </w:t>
      </w:r>
      <w:r w:rsidRPr="007E7CF9">
        <w:rPr>
          <w:rFonts w:ascii="Arial" w:hAnsi="Arial" w:cs="Arial"/>
          <w:bCs/>
          <w:iCs/>
          <w:sz w:val="26"/>
          <w:szCs w:val="26"/>
          <w:lang w:eastAsia="es-ES"/>
        </w:rPr>
        <w:lastRenderedPageBreak/>
        <w:t>octubre de dos mil diecisiete,</w:t>
      </w:r>
      <w:r>
        <w:rPr>
          <w:rFonts w:ascii="Arial" w:hAnsi="Arial" w:cs="Arial"/>
          <w:bCs/>
          <w:iCs/>
          <w:sz w:val="26"/>
          <w:szCs w:val="26"/>
          <w:lang w:eastAsia="es-ES"/>
        </w:rPr>
        <w:t xml:space="preserve"> </w:t>
      </w:r>
      <w:r w:rsidR="00D629AA" w:rsidRPr="006E349D">
        <w:rPr>
          <w:rFonts w:ascii="Arial" w:hAnsi="Arial" w:cs="Arial"/>
          <w:bCs/>
          <w:iCs/>
          <w:sz w:val="26"/>
          <w:szCs w:val="26"/>
        </w:rPr>
        <w:t>dado que se trata</w:t>
      </w:r>
      <w:r w:rsidR="00D629AA">
        <w:rPr>
          <w:rFonts w:ascii="Arial" w:hAnsi="Arial" w:cs="Arial"/>
          <w:bCs/>
          <w:iCs/>
          <w:sz w:val="26"/>
          <w:szCs w:val="26"/>
        </w:rPr>
        <w:t xml:space="preserve"> de un </w:t>
      </w:r>
      <w:r w:rsidR="00D629AA" w:rsidRPr="006E349D">
        <w:rPr>
          <w:rFonts w:ascii="Arial" w:hAnsi="Arial" w:cs="Arial"/>
          <w:bCs/>
          <w:iCs/>
          <w:sz w:val="26"/>
          <w:szCs w:val="26"/>
        </w:rPr>
        <w:t xml:space="preserve"> Recurso de Revisión interpuesto </w:t>
      </w:r>
      <w:r w:rsidR="00D629AA">
        <w:rPr>
          <w:rFonts w:ascii="Arial" w:hAnsi="Arial" w:cs="Arial"/>
          <w:bCs/>
          <w:iCs/>
          <w:sz w:val="26"/>
          <w:szCs w:val="26"/>
        </w:rPr>
        <w:t xml:space="preserve">en contra del acuerdo de </w:t>
      </w:r>
      <w:r w:rsidR="00EE0A0A">
        <w:rPr>
          <w:rFonts w:ascii="Arial" w:hAnsi="Arial" w:cs="Arial"/>
          <w:bCs/>
          <w:iCs/>
          <w:sz w:val="26"/>
          <w:szCs w:val="26"/>
        </w:rPr>
        <w:t>uno de diciembre</w:t>
      </w:r>
      <w:r w:rsidR="00D629AA">
        <w:rPr>
          <w:rFonts w:ascii="Arial" w:hAnsi="Arial" w:cs="Arial"/>
          <w:bCs/>
          <w:iCs/>
          <w:sz w:val="26"/>
          <w:szCs w:val="26"/>
        </w:rPr>
        <w:t xml:space="preserve"> de do</w:t>
      </w:r>
      <w:r>
        <w:rPr>
          <w:rFonts w:ascii="Arial" w:hAnsi="Arial" w:cs="Arial"/>
          <w:bCs/>
          <w:iCs/>
          <w:sz w:val="26"/>
          <w:szCs w:val="26"/>
        </w:rPr>
        <w:t>s mil diecisiete, dictada por la</w:t>
      </w:r>
      <w:r w:rsidR="00EE0A0A">
        <w:rPr>
          <w:rFonts w:ascii="Arial" w:hAnsi="Arial" w:cs="Arial"/>
          <w:bCs/>
          <w:iCs/>
          <w:sz w:val="26"/>
          <w:szCs w:val="26"/>
        </w:rPr>
        <w:t xml:space="preserve"> Titular de la Tercera</w:t>
      </w:r>
      <w:r w:rsidR="00D629AA">
        <w:rPr>
          <w:rFonts w:ascii="Arial" w:hAnsi="Arial" w:cs="Arial"/>
          <w:bCs/>
          <w:iCs/>
          <w:sz w:val="26"/>
          <w:szCs w:val="26"/>
        </w:rPr>
        <w:t xml:space="preserve"> Sala Unitaria de Primera Instancia, en el expediente </w:t>
      </w:r>
      <w:r w:rsidR="00D629AA">
        <w:rPr>
          <w:rFonts w:ascii="Arial" w:hAnsi="Arial" w:cs="Arial"/>
          <w:b/>
          <w:bCs/>
          <w:iCs/>
          <w:sz w:val="26"/>
          <w:szCs w:val="26"/>
        </w:rPr>
        <w:t>0</w:t>
      </w:r>
      <w:r w:rsidR="00EE0A0A">
        <w:rPr>
          <w:rFonts w:ascii="Arial" w:hAnsi="Arial" w:cs="Arial"/>
          <w:b/>
          <w:bCs/>
          <w:iCs/>
          <w:sz w:val="26"/>
          <w:szCs w:val="26"/>
        </w:rPr>
        <w:t>475/2018</w:t>
      </w:r>
      <w:r>
        <w:rPr>
          <w:rFonts w:ascii="Arial" w:hAnsi="Arial" w:cs="Arial"/>
          <w:b/>
          <w:bCs/>
          <w:iCs/>
          <w:sz w:val="26"/>
          <w:szCs w:val="26"/>
        </w:rPr>
        <w:t>.</w:t>
      </w:r>
    </w:p>
    <w:p w:rsidR="00D629AA" w:rsidRPr="00E80E37" w:rsidRDefault="001E752F" w:rsidP="001A35E8">
      <w:pPr>
        <w:widowControl w:val="0"/>
        <w:tabs>
          <w:tab w:val="left" w:pos="7938"/>
          <w:tab w:val="left" w:pos="8222"/>
        </w:tabs>
        <w:spacing w:after="120" w:line="360" w:lineRule="auto"/>
        <w:ind w:right="49"/>
        <w:jc w:val="both"/>
        <w:rPr>
          <w:rFonts w:ascii="Arial" w:eastAsia="Times New Roman" w:hAnsi="Arial" w:cs="Arial"/>
          <w:bCs/>
          <w:iCs/>
          <w:lang w:eastAsia="es-ES"/>
        </w:rPr>
      </w:pPr>
      <w:r>
        <w:rPr>
          <w:rFonts w:ascii="Arial" w:hAnsi="Arial" w:cs="Arial"/>
          <w:b/>
          <w:bCs/>
          <w:sz w:val="26"/>
          <w:szCs w:val="26"/>
        </w:rPr>
        <w:t xml:space="preserve">         </w:t>
      </w:r>
      <w:r w:rsidR="00D629AA" w:rsidRPr="006E349D">
        <w:rPr>
          <w:rFonts w:ascii="Arial" w:hAnsi="Arial" w:cs="Arial"/>
          <w:b/>
          <w:bCs/>
          <w:sz w:val="26"/>
          <w:szCs w:val="26"/>
        </w:rPr>
        <w:t>SEGUNDO.</w:t>
      </w:r>
      <w:r w:rsidR="00D629AA">
        <w:rPr>
          <w:rFonts w:ascii="Arial" w:hAnsi="Arial" w:cs="Arial"/>
          <w:b/>
          <w:bCs/>
          <w:sz w:val="26"/>
          <w:szCs w:val="26"/>
        </w:rPr>
        <w:t xml:space="preserve"> </w:t>
      </w:r>
      <w:r w:rsidR="00D629AA" w:rsidRPr="00D63A6F">
        <w:rPr>
          <w:rFonts w:ascii="Arial" w:hAnsi="Arial" w:cs="Arial"/>
          <w:bCs/>
          <w:color w:val="000000"/>
          <w:sz w:val="26"/>
          <w:szCs w:val="26"/>
        </w:rPr>
        <w:t>Los agravios hechos valer se enc</w:t>
      </w:r>
      <w:r w:rsidR="00D629AA">
        <w:rPr>
          <w:rFonts w:ascii="Arial" w:hAnsi="Arial" w:cs="Arial"/>
          <w:bCs/>
          <w:color w:val="000000"/>
          <w:sz w:val="26"/>
          <w:szCs w:val="26"/>
        </w:rPr>
        <w:t xml:space="preserve">uentran expuestos en el escrito </w:t>
      </w:r>
      <w:r w:rsidR="00D629AA" w:rsidRPr="00D63A6F">
        <w:rPr>
          <w:rFonts w:ascii="Arial" w:hAnsi="Arial" w:cs="Arial"/>
          <w:bCs/>
          <w:color w:val="000000"/>
          <w:sz w:val="26"/>
          <w:szCs w:val="26"/>
        </w:rPr>
        <w:t>de</w:t>
      </w:r>
      <w:r w:rsidR="00D629AA">
        <w:rPr>
          <w:rFonts w:ascii="Arial" w:hAnsi="Arial" w:cs="Arial"/>
          <w:bCs/>
          <w:color w:val="000000"/>
          <w:sz w:val="26"/>
          <w:szCs w:val="26"/>
        </w:rPr>
        <w:t>l recurrente</w:t>
      </w:r>
      <w:r w:rsidR="00D629AA" w:rsidRPr="00D63A6F">
        <w:rPr>
          <w:rFonts w:ascii="Arial" w:hAnsi="Arial" w:cs="Arial"/>
          <w:bCs/>
          <w:color w:val="000000"/>
          <w:sz w:val="26"/>
          <w:szCs w:val="26"/>
        </w:rPr>
        <w:t>, por lo que no existe necesidad de transcribirlos, virtud a que ello no implica transgresión a derecho alguno, como tampoco se vulnera disposición expr</w:t>
      </w:r>
      <w:r w:rsidR="00D629AA">
        <w:rPr>
          <w:rFonts w:ascii="Arial" w:hAnsi="Arial" w:cs="Arial"/>
          <w:bCs/>
          <w:color w:val="000000"/>
          <w:sz w:val="26"/>
          <w:szCs w:val="26"/>
        </w:rPr>
        <w:t xml:space="preserve">esa que imponga tal obligación. </w:t>
      </w:r>
      <w:r w:rsidR="00D629AA" w:rsidRPr="00D63A6F">
        <w:rPr>
          <w:rFonts w:ascii="Arial" w:hAnsi="Arial" w:cs="Arial"/>
          <w:bCs/>
          <w:color w:val="000000"/>
          <w:sz w:val="26"/>
          <w:szCs w:val="26"/>
        </w:rPr>
        <w:t>Se invoca en apoyo, la Tesis, con número de registro</w:t>
      </w:r>
      <w:r w:rsidR="00D629AA">
        <w:rPr>
          <w:rFonts w:ascii="Arial" w:hAnsi="Arial" w:cs="Arial"/>
          <w:bCs/>
          <w:color w:val="000000"/>
          <w:sz w:val="26"/>
          <w:szCs w:val="26"/>
        </w:rPr>
        <w:t xml:space="preserve"> 254280, publicada en la Gaceta </w:t>
      </w:r>
      <w:r w:rsidR="00D629AA" w:rsidRPr="00D63A6F">
        <w:rPr>
          <w:rFonts w:ascii="Arial" w:hAnsi="Arial" w:cs="Arial"/>
          <w:bCs/>
          <w:color w:val="000000"/>
          <w:sz w:val="26"/>
          <w:szCs w:val="26"/>
        </w:rPr>
        <w:t xml:space="preserve">del Semanario Judicial de la Federación, Volumen 81, Sexta Parte, Séptima  Época, pagina 23, bajo el </w:t>
      </w:r>
      <w:r>
        <w:rPr>
          <w:rFonts w:ascii="Arial" w:hAnsi="Arial" w:cs="Arial"/>
          <w:bCs/>
          <w:color w:val="000000"/>
          <w:sz w:val="26"/>
          <w:szCs w:val="26"/>
        </w:rPr>
        <w:t xml:space="preserve">rubro y texto siguiente: </w:t>
      </w:r>
      <w:r w:rsidR="001A35E8">
        <w:rPr>
          <w:rFonts w:ascii="Arial" w:hAnsi="Arial" w:cs="Arial"/>
          <w:bCs/>
          <w:color w:val="000000"/>
          <w:sz w:val="26"/>
          <w:szCs w:val="26"/>
        </w:rPr>
        <w:t xml:space="preserve">  </w:t>
      </w:r>
      <w:r w:rsidR="00D629AA">
        <w:rPr>
          <w:rFonts w:ascii="Arial" w:hAnsi="Arial" w:cs="Arial"/>
          <w:bCs/>
          <w:color w:val="000000"/>
          <w:sz w:val="26"/>
          <w:szCs w:val="26"/>
        </w:rPr>
        <w:t xml:space="preserve"> </w:t>
      </w:r>
      <w:r w:rsidR="00D629AA" w:rsidRPr="00D63A6F">
        <w:rPr>
          <w:rFonts w:ascii="Arial" w:hAnsi="Arial" w:cs="Arial"/>
          <w:bCs/>
          <w:color w:val="000000"/>
          <w:sz w:val="26"/>
          <w:szCs w:val="26"/>
        </w:rPr>
        <w:t xml:space="preserve"> </w:t>
      </w:r>
    </w:p>
    <w:p w:rsidR="00D629AA" w:rsidRPr="00EC27F5" w:rsidRDefault="00D629AA" w:rsidP="001A35E8">
      <w:pPr>
        <w:spacing w:after="120" w:line="360" w:lineRule="auto"/>
        <w:ind w:left="567" w:right="618"/>
        <w:jc w:val="both"/>
        <w:rPr>
          <w:rFonts w:ascii="Arial" w:hAnsi="Arial" w:cs="Arial"/>
          <w:color w:val="000000"/>
        </w:rPr>
      </w:pPr>
      <w:r w:rsidRPr="00EC27F5">
        <w:rPr>
          <w:rFonts w:ascii="Arial" w:hAnsi="Arial" w:cs="Arial"/>
          <w:b/>
          <w:bCs/>
          <w:color w:val="000000"/>
        </w:rPr>
        <w:t>“CONCEPTOS DE VIOLACIÓN. NO ES OBLIGATORIO TRANSCRIBIRLOS EN LA SENTENCIA</w:t>
      </w:r>
      <w:r w:rsidRPr="00EC27F5">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w:t>
      </w:r>
      <w:r w:rsidR="001E752F">
        <w:rPr>
          <w:rFonts w:ascii="Arial" w:hAnsi="Arial" w:cs="Arial"/>
          <w:bCs/>
          <w:color w:val="000000"/>
        </w:rPr>
        <w:t xml:space="preserve"> cuando no transcritos(sic)”. </w:t>
      </w:r>
    </w:p>
    <w:p w:rsidR="001E752F" w:rsidRDefault="00D629AA" w:rsidP="001E752F">
      <w:pPr>
        <w:pStyle w:val="Sinespaciado"/>
        <w:spacing w:after="120" w:line="360" w:lineRule="auto"/>
        <w:ind w:firstLine="567"/>
        <w:jc w:val="both"/>
        <w:rPr>
          <w:rFonts w:ascii="Arial" w:hAnsi="Arial" w:cs="Arial"/>
          <w:bCs/>
          <w:sz w:val="26"/>
          <w:szCs w:val="26"/>
        </w:rPr>
      </w:pPr>
      <w:r w:rsidRPr="00185265">
        <w:rPr>
          <w:rFonts w:ascii="Arial" w:eastAsia="Calibri" w:hAnsi="Arial" w:cs="Arial"/>
          <w:b/>
          <w:bCs/>
          <w:sz w:val="26"/>
          <w:szCs w:val="26"/>
        </w:rPr>
        <w:t>TERCERO.</w:t>
      </w:r>
      <w:r>
        <w:rPr>
          <w:rFonts w:ascii="Arial" w:eastAsia="Calibri" w:hAnsi="Arial" w:cs="Arial"/>
          <w:b/>
          <w:bCs/>
          <w:sz w:val="26"/>
          <w:szCs w:val="26"/>
        </w:rPr>
        <w:t xml:space="preserve"> </w:t>
      </w:r>
      <w:r w:rsidR="00032441" w:rsidRPr="006C7968">
        <w:rPr>
          <w:rFonts w:ascii="Arial" w:eastAsia="Calibri" w:hAnsi="Arial" w:cs="Arial"/>
          <w:bCs/>
          <w:sz w:val="26"/>
          <w:szCs w:val="26"/>
        </w:rPr>
        <w:t>Señala el</w:t>
      </w:r>
      <w:r w:rsidR="00032441">
        <w:rPr>
          <w:rFonts w:ascii="Arial" w:eastAsia="Calibri" w:hAnsi="Arial" w:cs="Arial"/>
          <w:b/>
          <w:bCs/>
          <w:sz w:val="26"/>
          <w:szCs w:val="26"/>
        </w:rPr>
        <w:t xml:space="preserve"> </w:t>
      </w:r>
      <w:r w:rsidR="00032441">
        <w:rPr>
          <w:rFonts w:ascii="Arial" w:hAnsi="Arial" w:cs="Arial"/>
          <w:bCs/>
          <w:sz w:val="26"/>
          <w:szCs w:val="26"/>
        </w:rPr>
        <w:t xml:space="preserve">recurrente que el acuerdo que combate viola en perjuicio de sus autorizantes, lo dispuesto por el tercer párrafo del artículo 153 de la Ley de Justicia Administrativa del Estado, interpretado a contrario sensu, así como la indebida aplicación del artículo 163 del mismo ordenamiento, </w:t>
      </w:r>
      <w:r w:rsidR="00A71408">
        <w:rPr>
          <w:rFonts w:ascii="Arial" w:hAnsi="Arial" w:cs="Arial"/>
          <w:bCs/>
          <w:sz w:val="26"/>
          <w:szCs w:val="26"/>
        </w:rPr>
        <w:t>que establece las formas y términos en la que la autoridad demandada deberá dar contestación a la demandada, por ello en estricto apego a dicho precepto, sus autorizantes dieron contestación a la demanda dentro del plazo concedido</w:t>
      </w:r>
      <w:r w:rsidR="001E752F">
        <w:rPr>
          <w:rFonts w:ascii="Arial" w:hAnsi="Arial" w:cs="Arial"/>
          <w:bCs/>
          <w:sz w:val="26"/>
          <w:szCs w:val="26"/>
        </w:rPr>
        <w:t>.</w:t>
      </w:r>
    </w:p>
    <w:p w:rsidR="007E34B9" w:rsidRDefault="007E34B9" w:rsidP="001E752F">
      <w:pPr>
        <w:pStyle w:val="Sinespaciado"/>
        <w:spacing w:after="120" w:line="360" w:lineRule="auto"/>
        <w:ind w:firstLine="567"/>
        <w:jc w:val="both"/>
        <w:rPr>
          <w:rFonts w:ascii="Arial" w:hAnsi="Arial" w:cs="Arial"/>
          <w:bCs/>
          <w:sz w:val="26"/>
          <w:szCs w:val="26"/>
        </w:rPr>
      </w:pPr>
      <w:r>
        <w:rPr>
          <w:rFonts w:ascii="Arial" w:hAnsi="Arial" w:cs="Arial"/>
          <w:bCs/>
          <w:sz w:val="26"/>
          <w:szCs w:val="26"/>
        </w:rPr>
        <w:t xml:space="preserve">Manifiesta que el artículo 153 de la Ley de Justicia Administrativa del Estado dispone que la contestación a la demanda debe producirse dentro de los nueve días hábiles siguientes al emplazamiento, es decir, la autoridad demandada puede dar contestación desde el día uno y hasta el día nueve, y será en dicha contestación en la que primeramente debe acreditar con documento idóneo la personalidad que ostenta y una vez acreditado ellos, deberá contestar y referirse a todos y cada uno de los hechos de la demanda; de ahí que sus </w:t>
      </w:r>
      <w:r>
        <w:rPr>
          <w:rFonts w:ascii="Arial" w:hAnsi="Arial" w:cs="Arial"/>
          <w:bCs/>
          <w:sz w:val="26"/>
          <w:szCs w:val="26"/>
        </w:rPr>
        <w:lastRenderedPageBreak/>
        <w:t>autorizantes cumplieron con dicho mandato contestando puntualmente todos y cada uno de los hechos expuestos en la demanda, dentro de los cuales se encuentran el capítulo relativo a las pruebas que ofreció la parte actora, por ello fue en dicha contestación en que realizaron la objeción tantas veces señaladas, basándose evidentemente en los hechos que conforman la contestac</w:t>
      </w:r>
      <w:r w:rsidR="001E752F">
        <w:rPr>
          <w:rFonts w:ascii="Arial" w:hAnsi="Arial" w:cs="Arial"/>
          <w:bCs/>
          <w:sz w:val="26"/>
          <w:szCs w:val="26"/>
        </w:rPr>
        <w:t>ión.</w:t>
      </w:r>
    </w:p>
    <w:p w:rsidR="001E752F" w:rsidRDefault="007E34B9" w:rsidP="001E752F">
      <w:pPr>
        <w:spacing w:line="360" w:lineRule="auto"/>
        <w:ind w:firstLine="567"/>
        <w:jc w:val="both"/>
        <w:rPr>
          <w:rFonts w:ascii="Arial" w:hAnsi="Arial" w:cs="Arial"/>
          <w:bCs/>
          <w:sz w:val="26"/>
          <w:szCs w:val="26"/>
        </w:rPr>
      </w:pPr>
      <w:r>
        <w:rPr>
          <w:rFonts w:ascii="Arial" w:hAnsi="Arial" w:cs="Arial"/>
          <w:bCs/>
          <w:sz w:val="26"/>
          <w:szCs w:val="26"/>
        </w:rPr>
        <w:t>Las expresiones anteriores</w:t>
      </w:r>
      <w:r w:rsidRPr="00F63A85">
        <w:rPr>
          <w:rFonts w:ascii="Arial" w:hAnsi="Arial" w:cs="Arial"/>
          <w:bCs/>
          <w:sz w:val="26"/>
          <w:szCs w:val="26"/>
        </w:rPr>
        <w:t xml:space="preserve"> son </w:t>
      </w:r>
      <w:r w:rsidRPr="00F63A85">
        <w:rPr>
          <w:rFonts w:ascii="Arial" w:hAnsi="Arial" w:cs="Arial"/>
          <w:b/>
          <w:bCs/>
          <w:sz w:val="26"/>
          <w:szCs w:val="26"/>
        </w:rPr>
        <w:t>inoperantes</w:t>
      </w:r>
      <w:r>
        <w:rPr>
          <w:rFonts w:ascii="Arial" w:hAnsi="Arial" w:cs="Arial"/>
          <w:b/>
          <w:bCs/>
          <w:sz w:val="26"/>
          <w:szCs w:val="26"/>
        </w:rPr>
        <w:t>,</w:t>
      </w:r>
      <w:r w:rsidRPr="00F63A85">
        <w:rPr>
          <w:rFonts w:ascii="Arial" w:hAnsi="Arial" w:cs="Arial"/>
          <w:bCs/>
          <w:sz w:val="26"/>
          <w:szCs w:val="26"/>
        </w:rPr>
        <w:t xml:space="preserve"> </w:t>
      </w:r>
      <w:r>
        <w:rPr>
          <w:rFonts w:ascii="Arial" w:hAnsi="Arial" w:cs="Arial"/>
          <w:bCs/>
          <w:sz w:val="26"/>
          <w:szCs w:val="26"/>
        </w:rPr>
        <w:t>porque de manera genérica expone se contraviene el artículo 153 de la Ley de Justicia Administrativa del Estado</w:t>
      </w:r>
      <w:r w:rsidR="001D4631">
        <w:rPr>
          <w:rFonts w:ascii="Arial" w:hAnsi="Arial" w:cs="Arial"/>
          <w:bCs/>
          <w:sz w:val="26"/>
          <w:szCs w:val="26"/>
        </w:rPr>
        <w:t>; sin embargo, d</w:t>
      </w:r>
      <w:r>
        <w:rPr>
          <w:rFonts w:ascii="Arial" w:hAnsi="Arial" w:cs="Arial"/>
          <w:bCs/>
          <w:sz w:val="26"/>
          <w:szCs w:val="26"/>
        </w:rPr>
        <w:t xml:space="preserve">el acuerdo recurrido </w:t>
      </w:r>
      <w:r w:rsidR="001D4631">
        <w:rPr>
          <w:rFonts w:ascii="Arial" w:hAnsi="Arial" w:cs="Arial"/>
          <w:bCs/>
          <w:sz w:val="26"/>
          <w:szCs w:val="26"/>
        </w:rPr>
        <w:t>se advierte que</w:t>
      </w:r>
      <w:r>
        <w:rPr>
          <w:rFonts w:ascii="Arial" w:hAnsi="Arial" w:cs="Arial"/>
          <w:bCs/>
          <w:sz w:val="26"/>
          <w:szCs w:val="26"/>
        </w:rPr>
        <w:t xml:space="preserve"> respecto al Presidente Municipal, Síndica Procuradora y Hacendaria, Tesorero Municipal y Director de Recursos Humanos, todas del H. Ayuntamiento de Salina Cruz, Tehuantepec, Oaxaca, </w:t>
      </w:r>
      <w:r w:rsidR="001D4631">
        <w:rPr>
          <w:rFonts w:ascii="Arial" w:hAnsi="Arial" w:cs="Arial"/>
          <w:bCs/>
          <w:sz w:val="26"/>
          <w:szCs w:val="26"/>
        </w:rPr>
        <w:t xml:space="preserve">la Magistrada de la Tercera Sala Unitaria señaló lo siguiente: </w:t>
      </w:r>
      <w:r>
        <w:rPr>
          <w:rFonts w:ascii="Arial" w:hAnsi="Arial" w:cs="Arial"/>
          <w:bCs/>
          <w:sz w:val="26"/>
          <w:szCs w:val="26"/>
        </w:rPr>
        <w:t>“</w:t>
      </w:r>
      <w:r w:rsidRPr="006D6160">
        <w:rPr>
          <w:rFonts w:ascii="Arial" w:hAnsi="Arial" w:cs="Arial"/>
          <w:b/>
          <w:bCs/>
          <w:i/>
          <w:sz w:val="24"/>
          <w:szCs w:val="24"/>
        </w:rPr>
        <w:t>se les tiene contentando la demanda de nulidad del actor</w:t>
      </w:r>
      <w:r>
        <w:rPr>
          <w:rFonts w:ascii="Arial" w:hAnsi="Arial" w:cs="Arial"/>
          <w:b/>
          <w:bCs/>
          <w:i/>
          <w:sz w:val="24"/>
          <w:szCs w:val="24"/>
        </w:rPr>
        <w:t xml:space="preserve">, </w:t>
      </w:r>
      <w:r>
        <w:rPr>
          <w:rFonts w:ascii="Arial" w:hAnsi="Arial" w:cs="Arial"/>
          <w:bCs/>
          <w:i/>
          <w:sz w:val="24"/>
          <w:szCs w:val="24"/>
        </w:rPr>
        <w:t>haciendo valer sus argumentos y defensas…”</w:t>
      </w:r>
      <w:r w:rsidR="001E752F">
        <w:rPr>
          <w:rFonts w:ascii="Arial" w:hAnsi="Arial" w:cs="Arial"/>
          <w:bCs/>
          <w:sz w:val="26"/>
          <w:szCs w:val="26"/>
        </w:rPr>
        <w:t>.</w:t>
      </w:r>
    </w:p>
    <w:p w:rsidR="001E752F" w:rsidRDefault="007E34B9" w:rsidP="001E752F">
      <w:pPr>
        <w:spacing w:line="360" w:lineRule="auto"/>
        <w:ind w:firstLine="567"/>
        <w:jc w:val="both"/>
        <w:rPr>
          <w:rFonts w:ascii="Arial" w:hAnsi="Arial" w:cs="Arial"/>
          <w:bCs/>
          <w:sz w:val="26"/>
          <w:szCs w:val="26"/>
        </w:rPr>
      </w:pPr>
      <w:r>
        <w:rPr>
          <w:rFonts w:ascii="Arial" w:hAnsi="Arial" w:cs="Arial"/>
          <w:bCs/>
          <w:sz w:val="26"/>
          <w:szCs w:val="26"/>
        </w:rPr>
        <w:t>Luego, se tuvo a dichas autoridades contestando la demanda de nulidad dentro el término de  nueve días que establece el artículo 153 primer párrafo de la Ley de la materia; asimismo, se señaló que se le tenía haciendo vales su argumentos y defensa, los cuales se analizarán al momento de dictarse la sentencia respectiva y se le tuvo por acreditada su personalidad dentro del procedimiento; por  consiguiente, en ningún momento se viola por parte de la primera instancia, lo di</w:t>
      </w:r>
      <w:r w:rsidR="001E752F">
        <w:rPr>
          <w:rFonts w:ascii="Arial" w:hAnsi="Arial" w:cs="Arial"/>
          <w:bCs/>
          <w:sz w:val="26"/>
          <w:szCs w:val="26"/>
        </w:rPr>
        <w:t>spuesto por el citado precepto.</w:t>
      </w:r>
    </w:p>
    <w:p w:rsidR="001E752F" w:rsidRDefault="008A59EA" w:rsidP="001E752F">
      <w:pPr>
        <w:spacing w:line="360" w:lineRule="auto"/>
        <w:ind w:firstLine="567"/>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6B05782" wp14:editId="5619CD39">
                <wp:simplePos x="0" y="0"/>
                <wp:positionH relativeFrom="column">
                  <wp:posOffset>5709920</wp:posOffset>
                </wp:positionH>
                <wp:positionV relativeFrom="paragraph">
                  <wp:posOffset>576580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A59EA" w:rsidRDefault="008A59EA" w:rsidP="008A59E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9.6pt;margin-top:45.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">
                <v:textbox>
                  <w:txbxContent>
                    <w:p w:rsidR="008A59EA" w:rsidRDefault="008A59EA" w:rsidP="008A59EA">
                      <w:pPr>
                        <w:rPr>
                          <w:sz w:val="16"/>
                          <w:szCs w:val="16"/>
                        </w:rPr>
                      </w:pPr>
                      <w:r>
                        <w:rPr>
                          <w:sz w:val="16"/>
                          <w:szCs w:val="16"/>
                        </w:rPr>
                        <w:t>Datos personales protegidos por el Art. 116 de la LGTAIP y el Art. 56 de la LTAIPEO</w:t>
                      </w:r>
                    </w:p>
                  </w:txbxContent>
                </v:textbox>
              </v:shape>
            </w:pict>
          </mc:Fallback>
        </mc:AlternateContent>
      </w:r>
      <w:r w:rsidR="001D4631">
        <w:rPr>
          <w:rFonts w:ascii="Arial" w:hAnsi="Arial" w:cs="Arial"/>
          <w:bCs/>
          <w:sz w:val="26"/>
          <w:szCs w:val="26"/>
        </w:rPr>
        <w:t xml:space="preserve">En consecuencia, al no exponer el recurrente </w:t>
      </w:r>
      <w:r w:rsidR="007E34B9">
        <w:rPr>
          <w:rFonts w:ascii="Arial" w:hAnsi="Arial" w:cs="Arial"/>
          <w:bCs/>
          <w:sz w:val="26"/>
          <w:szCs w:val="26"/>
        </w:rPr>
        <w:t>porque el acuerdo en análisis</w:t>
      </w:r>
      <w:r w:rsidR="001D4631">
        <w:rPr>
          <w:rFonts w:ascii="Arial" w:hAnsi="Arial" w:cs="Arial"/>
          <w:bCs/>
          <w:sz w:val="26"/>
          <w:szCs w:val="26"/>
        </w:rPr>
        <w:t xml:space="preserve"> resulta ser ilegal,</w:t>
      </w:r>
      <w:r w:rsidR="007E34B9">
        <w:rPr>
          <w:rFonts w:ascii="Arial" w:hAnsi="Arial" w:cs="Arial"/>
          <w:bCs/>
          <w:sz w:val="26"/>
          <w:szCs w:val="26"/>
        </w:rPr>
        <w:t xml:space="preserve"> </w:t>
      </w:r>
      <w:r w:rsidR="001D4631">
        <w:rPr>
          <w:rFonts w:ascii="Arial" w:hAnsi="Arial" w:cs="Arial"/>
          <w:bCs/>
          <w:sz w:val="26"/>
          <w:szCs w:val="26"/>
        </w:rPr>
        <w:t xml:space="preserve">pues </w:t>
      </w:r>
      <w:r w:rsidR="007E34B9">
        <w:rPr>
          <w:rFonts w:ascii="Arial" w:hAnsi="Arial" w:cs="Arial"/>
          <w:bCs/>
          <w:sz w:val="26"/>
          <w:szCs w:val="26"/>
        </w:rPr>
        <w:t>fue omiso en exponer de manera fundada y motivada</w:t>
      </w:r>
      <w:r w:rsidR="001D4631">
        <w:rPr>
          <w:rFonts w:ascii="Arial" w:hAnsi="Arial" w:cs="Arial"/>
          <w:bCs/>
          <w:sz w:val="26"/>
          <w:szCs w:val="26"/>
        </w:rPr>
        <w:t xml:space="preserve"> las circunstancias que considera le causan agravios, puesto que contrario a lo que refiere, se tuvo a las autoridades que representa, contestando su demanda en tiempo y forma, de conformidad con el precepto 153 de la ley de la materia, </w:t>
      </w:r>
      <w:r w:rsidR="007E34B9">
        <w:rPr>
          <w:rFonts w:ascii="Arial" w:hAnsi="Arial" w:cs="Arial"/>
          <w:bCs/>
          <w:sz w:val="26"/>
          <w:szCs w:val="26"/>
        </w:rPr>
        <w:t xml:space="preserve">de donde sus manifestaciones no constituyen un verdadero agravio que controvierta </w:t>
      </w:r>
      <w:r w:rsidR="001D4631">
        <w:rPr>
          <w:rFonts w:ascii="Arial" w:hAnsi="Arial" w:cs="Arial"/>
          <w:bCs/>
          <w:sz w:val="26"/>
          <w:szCs w:val="26"/>
        </w:rPr>
        <w:t>la parte relativa d</w:t>
      </w:r>
      <w:r w:rsidR="007E34B9">
        <w:rPr>
          <w:rFonts w:ascii="Arial" w:hAnsi="Arial" w:cs="Arial"/>
          <w:bCs/>
          <w:sz w:val="26"/>
          <w:szCs w:val="26"/>
        </w:rPr>
        <w:t xml:space="preserve">el </w:t>
      </w:r>
      <w:r w:rsidR="001D4631">
        <w:rPr>
          <w:rFonts w:ascii="Arial" w:hAnsi="Arial" w:cs="Arial"/>
          <w:bCs/>
          <w:sz w:val="26"/>
          <w:szCs w:val="26"/>
        </w:rPr>
        <w:t>acuerdo de 01 uno de diciembre de 2017 dos mil diecisiete</w:t>
      </w:r>
      <w:r w:rsidR="007E34B9">
        <w:rPr>
          <w:rFonts w:ascii="Arial" w:hAnsi="Arial" w:cs="Arial"/>
          <w:bCs/>
          <w:sz w:val="26"/>
          <w:szCs w:val="26"/>
        </w:rPr>
        <w:t>.</w:t>
      </w:r>
    </w:p>
    <w:p w:rsidR="001E752F" w:rsidRDefault="007E34B9" w:rsidP="001E752F">
      <w:pPr>
        <w:spacing w:line="360" w:lineRule="auto"/>
        <w:ind w:firstLine="567"/>
        <w:jc w:val="both"/>
        <w:rPr>
          <w:rFonts w:ascii="Arial" w:eastAsia="Times New Roman" w:hAnsi="Arial"/>
          <w:color w:val="000000"/>
          <w:sz w:val="26"/>
          <w:szCs w:val="26"/>
        </w:rPr>
      </w:pPr>
      <w:r>
        <w:rPr>
          <w:rFonts w:ascii="Arial" w:hAnsi="Arial" w:cs="Arial"/>
          <w:bCs/>
          <w:sz w:val="26"/>
          <w:szCs w:val="26"/>
        </w:rPr>
        <w:t xml:space="preserve">Sirve </w:t>
      </w:r>
      <w:r w:rsidRPr="006B25A5">
        <w:rPr>
          <w:rFonts w:ascii="Arial" w:hAnsi="Arial" w:cs="Arial"/>
          <w:bCs/>
          <w:sz w:val="26"/>
          <w:szCs w:val="26"/>
        </w:rPr>
        <w:t xml:space="preserve">de apoyo por identidad jurídica la jurisprudencia número </w:t>
      </w:r>
      <w:r w:rsidRPr="006B25A5">
        <w:rPr>
          <w:rFonts w:ascii="Arial" w:eastAsia="Times New Roman" w:hAnsi="Arial"/>
          <w:color w:val="000000"/>
          <w:sz w:val="26"/>
          <w:szCs w:val="26"/>
        </w:rPr>
        <w:t>IV.3o. J/12 dictada por el Tercer Tribunal Colegiado del Cuarto Circuito en la octava época, publicada en el Semanario Judicial de la Federación número 57 en septiembre de 1992, de la materia común visible a página 57, cuyo rubro y texto son del tenor siguiente:</w:t>
      </w:r>
    </w:p>
    <w:p w:rsidR="001E752F" w:rsidRDefault="001E752F" w:rsidP="00D0417F">
      <w:pPr>
        <w:widowControl w:val="0"/>
        <w:autoSpaceDE w:val="0"/>
        <w:autoSpaceDN w:val="0"/>
        <w:adjustRightInd w:val="0"/>
        <w:spacing w:line="360" w:lineRule="auto"/>
        <w:ind w:left="851" w:right="616"/>
        <w:jc w:val="both"/>
        <w:rPr>
          <w:rFonts w:ascii="Arial" w:eastAsia="Times New Roman" w:hAnsi="Arial"/>
          <w:color w:val="000000"/>
          <w:sz w:val="26"/>
          <w:szCs w:val="26"/>
        </w:rPr>
      </w:pPr>
    </w:p>
    <w:p w:rsidR="007E34B9" w:rsidRDefault="001E752F" w:rsidP="00D0417F">
      <w:pPr>
        <w:widowControl w:val="0"/>
        <w:autoSpaceDE w:val="0"/>
        <w:autoSpaceDN w:val="0"/>
        <w:adjustRightInd w:val="0"/>
        <w:spacing w:line="360" w:lineRule="auto"/>
        <w:ind w:left="851" w:right="616"/>
        <w:jc w:val="both"/>
        <w:rPr>
          <w:rFonts w:ascii="Arial" w:eastAsia="Times New Roman" w:hAnsi="Arial"/>
          <w:i/>
          <w:color w:val="000000"/>
        </w:rPr>
      </w:pPr>
      <w:r w:rsidRPr="00D0417F">
        <w:rPr>
          <w:rFonts w:ascii="Arial" w:eastAsia="Times New Roman" w:hAnsi="Arial"/>
          <w:b/>
          <w:i/>
          <w:color w:val="000000"/>
        </w:rPr>
        <w:lastRenderedPageBreak/>
        <w:t xml:space="preserve"> </w:t>
      </w:r>
      <w:r w:rsidR="007E34B9" w:rsidRPr="00D0417F">
        <w:rPr>
          <w:rFonts w:ascii="Arial" w:eastAsia="Times New Roman" w:hAnsi="Arial"/>
          <w:b/>
          <w:i/>
          <w:color w:val="000000"/>
        </w:rPr>
        <w:t xml:space="preserve">“AGRAVIOS. DEBEN DE IMPUGNAR LA ILEGALIDAD DEL FALLO RECURRIDO. </w:t>
      </w:r>
      <w:r w:rsidR="007E34B9" w:rsidRPr="00D0417F">
        <w:rPr>
          <w:rFonts w:ascii="Arial" w:eastAsia="Times New Roman" w:hAnsi="Arial"/>
          <w:i/>
          <w:color w:val="000000"/>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D0417F">
        <w:rPr>
          <w:rFonts w:ascii="Arial" w:eastAsia="Times New Roman" w:hAnsi="Arial"/>
          <w:i/>
          <w:color w:val="000000"/>
        </w:rPr>
        <w:t xml:space="preserve">- - - - - - </w:t>
      </w:r>
    </w:p>
    <w:p w:rsidR="001E752F" w:rsidRPr="007E34B9" w:rsidRDefault="001E752F" w:rsidP="00D0417F">
      <w:pPr>
        <w:widowControl w:val="0"/>
        <w:autoSpaceDE w:val="0"/>
        <w:autoSpaceDN w:val="0"/>
        <w:adjustRightInd w:val="0"/>
        <w:spacing w:line="360" w:lineRule="auto"/>
        <w:ind w:left="851" w:right="616"/>
        <w:jc w:val="both"/>
        <w:rPr>
          <w:rFonts w:ascii="Arial" w:hAnsi="Arial" w:cs="Arial"/>
          <w:bCs/>
          <w:sz w:val="26"/>
          <w:szCs w:val="26"/>
        </w:rPr>
      </w:pPr>
    </w:p>
    <w:p w:rsidR="001E752F" w:rsidRDefault="007E34B9" w:rsidP="001E752F">
      <w:pPr>
        <w:pStyle w:val="Sinespaciado"/>
        <w:spacing w:after="120" w:line="360" w:lineRule="auto"/>
        <w:ind w:firstLine="708"/>
        <w:jc w:val="both"/>
        <w:rPr>
          <w:rFonts w:ascii="Arial" w:hAnsi="Arial" w:cs="Arial"/>
          <w:bCs/>
          <w:sz w:val="26"/>
          <w:szCs w:val="26"/>
        </w:rPr>
      </w:pPr>
      <w:r>
        <w:rPr>
          <w:rFonts w:ascii="Arial" w:hAnsi="Arial" w:cs="Arial"/>
          <w:bCs/>
          <w:sz w:val="26"/>
          <w:szCs w:val="26"/>
        </w:rPr>
        <w:t xml:space="preserve">Por otra parte, </w:t>
      </w:r>
      <w:r w:rsidRPr="006D6160">
        <w:rPr>
          <w:rFonts w:ascii="Arial" w:hAnsi="Arial" w:cs="Arial"/>
          <w:b/>
          <w:bCs/>
          <w:sz w:val="26"/>
          <w:szCs w:val="26"/>
        </w:rPr>
        <w:t>resulta</w:t>
      </w:r>
      <w:r>
        <w:rPr>
          <w:rFonts w:ascii="Arial" w:hAnsi="Arial" w:cs="Arial"/>
          <w:b/>
          <w:bCs/>
          <w:sz w:val="26"/>
          <w:szCs w:val="26"/>
        </w:rPr>
        <w:t>n</w:t>
      </w:r>
      <w:r w:rsidRPr="006D6160">
        <w:rPr>
          <w:rFonts w:ascii="Arial" w:hAnsi="Arial" w:cs="Arial"/>
          <w:b/>
          <w:bCs/>
          <w:sz w:val="26"/>
          <w:szCs w:val="26"/>
        </w:rPr>
        <w:t xml:space="preserve"> </w:t>
      </w:r>
      <w:r>
        <w:rPr>
          <w:rFonts w:ascii="Arial" w:hAnsi="Arial" w:cs="Arial"/>
          <w:b/>
          <w:bCs/>
          <w:sz w:val="26"/>
          <w:szCs w:val="26"/>
        </w:rPr>
        <w:t xml:space="preserve">infundados </w:t>
      </w:r>
      <w:r w:rsidRPr="00887D10">
        <w:rPr>
          <w:rFonts w:ascii="Arial" w:hAnsi="Arial" w:cs="Arial"/>
          <w:bCs/>
          <w:sz w:val="26"/>
          <w:szCs w:val="26"/>
        </w:rPr>
        <w:t>l</w:t>
      </w:r>
      <w:r>
        <w:rPr>
          <w:rFonts w:ascii="Arial" w:hAnsi="Arial" w:cs="Arial"/>
          <w:bCs/>
          <w:sz w:val="26"/>
          <w:szCs w:val="26"/>
        </w:rPr>
        <w:t>os argumentos expuestos por el recurrente, en donde s</w:t>
      </w:r>
      <w:r w:rsidR="0016495A">
        <w:rPr>
          <w:rFonts w:ascii="Arial" w:hAnsi="Arial" w:cs="Arial"/>
          <w:bCs/>
          <w:sz w:val="26"/>
          <w:szCs w:val="26"/>
        </w:rPr>
        <w:t xml:space="preserve">ostiene que el acuerdo de fecha uno de diciembre de dos mil diecisiete agravia a sus autorizantes, pues </w:t>
      </w:r>
      <w:r w:rsidR="005E7D47">
        <w:rPr>
          <w:rFonts w:ascii="Arial" w:hAnsi="Arial" w:cs="Arial"/>
          <w:bCs/>
          <w:sz w:val="26"/>
          <w:szCs w:val="26"/>
        </w:rPr>
        <w:t xml:space="preserve">se  le tuvo por no </w:t>
      </w:r>
      <w:r w:rsidR="0016495A">
        <w:rPr>
          <w:rFonts w:ascii="Arial" w:hAnsi="Arial" w:cs="Arial"/>
          <w:bCs/>
          <w:sz w:val="26"/>
          <w:szCs w:val="26"/>
        </w:rPr>
        <w:t>formula</w:t>
      </w:r>
      <w:r w:rsidR="005E7D47">
        <w:rPr>
          <w:rFonts w:ascii="Arial" w:hAnsi="Arial" w:cs="Arial"/>
          <w:bCs/>
          <w:sz w:val="26"/>
          <w:szCs w:val="26"/>
        </w:rPr>
        <w:t>das</w:t>
      </w:r>
      <w:r w:rsidR="0016495A">
        <w:rPr>
          <w:rFonts w:ascii="Arial" w:hAnsi="Arial" w:cs="Arial"/>
          <w:bCs/>
          <w:sz w:val="26"/>
          <w:szCs w:val="26"/>
        </w:rPr>
        <w:t xml:space="preserve"> las objeciones </w:t>
      </w:r>
      <w:r w:rsidR="005E7D47">
        <w:rPr>
          <w:rFonts w:ascii="Arial" w:hAnsi="Arial" w:cs="Arial"/>
          <w:bCs/>
          <w:sz w:val="26"/>
          <w:szCs w:val="26"/>
        </w:rPr>
        <w:t>a las pruebas del actor,</w:t>
      </w:r>
      <w:r w:rsidR="0016495A">
        <w:rPr>
          <w:rFonts w:ascii="Arial" w:hAnsi="Arial" w:cs="Arial"/>
          <w:bCs/>
          <w:sz w:val="26"/>
          <w:szCs w:val="26"/>
        </w:rPr>
        <w:t xml:space="preserve"> bajo el argumento de que lo hicieron en forma extemporánea, lo que</w:t>
      </w:r>
      <w:r w:rsidR="005E7D47">
        <w:rPr>
          <w:rFonts w:ascii="Arial" w:hAnsi="Arial" w:cs="Arial"/>
          <w:bCs/>
          <w:sz w:val="26"/>
          <w:szCs w:val="26"/>
        </w:rPr>
        <w:t xml:space="preserve"> señala,</w:t>
      </w:r>
      <w:r w:rsidR="0016495A">
        <w:rPr>
          <w:rFonts w:ascii="Arial" w:hAnsi="Arial" w:cs="Arial"/>
          <w:bCs/>
          <w:sz w:val="26"/>
          <w:szCs w:val="26"/>
        </w:rPr>
        <w:t xml:space="preserve"> implica imponerles la obligación de objetar las pruebas ofrecidas por el actor antes de dar contestación a la demanda, en franca violación a su derecho de defensa y sobre todo incumpliendo con las formalidades del procedimiento, pues se le obliga a producir su contestación a la demanda dentro de un plazo menor al establecido por la ley, dado que no puede objetarse documento alguno, sin antes producir la contestación de los hechos que se pretenden probar con dichos documentos, de ahí que se agravia lo establecido por los artículos 14 segundo párrafo y 17 segundo párrafo de la Constitución Política d</w:t>
      </w:r>
      <w:r w:rsidR="001E752F">
        <w:rPr>
          <w:rFonts w:ascii="Arial" w:hAnsi="Arial" w:cs="Arial"/>
          <w:bCs/>
          <w:sz w:val="26"/>
          <w:szCs w:val="26"/>
        </w:rPr>
        <w:t xml:space="preserve">e los Estado Unidos Mexicanos. </w:t>
      </w:r>
    </w:p>
    <w:p w:rsidR="001E752F" w:rsidRDefault="005E7D47" w:rsidP="001E752F">
      <w:pPr>
        <w:pStyle w:val="Sinespaciado"/>
        <w:spacing w:after="120" w:line="360" w:lineRule="auto"/>
        <w:ind w:firstLine="708"/>
        <w:jc w:val="both"/>
        <w:rPr>
          <w:rFonts w:ascii="Arial" w:hAnsi="Arial" w:cs="Arial"/>
          <w:bCs/>
          <w:sz w:val="26"/>
          <w:szCs w:val="26"/>
        </w:rPr>
      </w:pPr>
      <w:r>
        <w:rPr>
          <w:rFonts w:ascii="Arial" w:hAnsi="Arial" w:cs="Arial"/>
          <w:bCs/>
          <w:sz w:val="26"/>
          <w:szCs w:val="26"/>
        </w:rPr>
        <w:t>Igualmente</w:t>
      </w:r>
      <w:r w:rsidR="007E34B9">
        <w:rPr>
          <w:rFonts w:ascii="Arial" w:hAnsi="Arial" w:cs="Arial"/>
          <w:bCs/>
          <w:sz w:val="26"/>
          <w:szCs w:val="26"/>
        </w:rPr>
        <w:t xml:space="preserve">, </w:t>
      </w:r>
      <w:r w:rsidRPr="005E7D47">
        <w:rPr>
          <w:rFonts w:ascii="Arial" w:hAnsi="Arial" w:cs="Arial"/>
          <w:b/>
          <w:bCs/>
          <w:sz w:val="26"/>
          <w:szCs w:val="26"/>
        </w:rPr>
        <w:t>resultan infundadas</w:t>
      </w:r>
      <w:r>
        <w:rPr>
          <w:rFonts w:ascii="Arial" w:hAnsi="Arial" w:cs="Arial"/>
          <w:bCs/>
          <w:sz w:val="26"/>
          <w:szCs w:val="26"/>
        </w:rPr>
        <w:t xml:space="preserve"> sus manifestaciones, al indicar que </w:t>
      </w:r>
      <w:r w:rsidR="0016495A">
        <w:rPr>
          <w:rFonts w:ascii="Arial" w:hAnsi="Arial" w:cs="Arial"/>
          <w:bCs/>
          <w:sz w:val="26"/>
          <w:szCs w:val="26"/>
        </w:rPr>
        <w:t>el artículo 163 de la Ley de Justicia Administrativa del Estado dispone que las objeciones de pruebas se harán dentro de los cinco días siguientes a la notificación del acuerdo por el que se mandaron agregar, sin embargo dicha disposición no resulta aplicable en tratándose de la contestación a la demanda, pues de ser así, se estaría limitando el derecho que tienen sus autorizantes de contestar de manera informada dentro de los nueve días que les concede el ar</w:t>
      </w:r>
      <w:r w:rsidR="001E752F">
        <w:rPr>
          <w:rFonts w:ascii="Arial" w:hAnsi="Arial" w:cs="Arial"/>
          <w:bCs/>
          <w:sz w:val="26"/>
          <w:szCs w:val="26"/>
        </w:rPr>
        <w:t>tículo 153 de la Ley aplicable.</w:t>
      </w:r>
    </w:p>
    <w:p w:rsidR="001E752F" w:rsidRDefault="00B87F2A" w:rsidP="001E752F">
      <w:pPr>
        <w:pStyle w:val="Sinespaciado"/>
        <w:spacing w:after="120" w:line="360" w:lineRule="auto"/>
        <w:ind w:firstLine="708"/>
        <w:jc w:val="both"/>
        <w:rPr>
          <w:rFonts w:ascii="Arial" w:hAnsi="Arial" w:cs="Arial"/>
          <w:bCs/>
          <w:sz w:val="26"/>
          <w:szCs w:val="26"/>
        </w:rPr>
      </w:pPr>
      <w:r>
        <w:rPr>
          <w:rFonts w:ascii="Arial" w:hAnsi="Arial" w:cs="Arial"/>
          <w:bCs/>
          <w:sz w:val="26"/>
          <w:szCs w:val="26"/>
        </w:rPr>
        <w:t>Así d</w:t>
      </w:r>
      <w:r w:rsidR="006D6160">
        <w:rPr>
          <w:rFonts w:ascii="Arial" w:hAnsi="Arial" w:cs="Arial"/>
          <w:bCs/>
          <w:sz w:val="26"/>
          <w:szCs w:val="26"/>
        </w:rPr>
        <w:t xml:space="preserve">el </w:t>
      </w:r>
      <w:r w:rsidR="003537BD">
        <w:rPr>
          <w:rFonts w:ascii="Arial" w:hAnsi="Arial" w:cs="Arial"/>
          <w:bCs/>
          <w:sz w:val="26"/>
          <w:szCs w:val="26"/>
        </w:rPr>
        <w:t xml:space="preserve">análisis de las copias certificadas deducidas del expediente de primera instancia, a las que se les otorga pleno valor probatorio de conformidad con lo dispuesto por el artículo 173, fracción I, de la Ley de Justicia Administrativa para el Estado de Oaxaca, </w:t>
      </w:r>
      <w:r w:rsidR="001E752F">
        <w:rPr>
          <w:rFonts w:ascii="Arial" w:hAnsi="Arial" w:cs="Arial"/>
          <w:bCs/>
          <w:sz w:val="26"/>
          <w:szCs w:val="26"/>
        </w:rPr>
        <w:lastRenderedPageBreak/>
        <w:t xml:space="preserve">vigente hasta el veinte de octubre de dos mil diecisiete, </w:t>
      </w:r>
      <w:r w:rsidR="003537BD">
        <w:rPr>
          <w:rFonts w:ascii="Arial" w:hAnsi="Arial" w:cs="Arial"/>
          <w:bCs/>
          <w:sz w:val="26"/>
          <w:szCs w:val="26"/>
        </w:rPr>
        <w:t xml:space="preserve">por tratarse de actuaciones judiciales, se advierte que la Magistrada de la Tercera Sala Unitaria, </w:t>
      </w:r>
      <w:r w:rsidR="00C45284">
        <w:rPr>
          <w:rFonts w:ascii="Arial" w:hAnsi="Arial" w:cs="Arial"/>
          <w:bCs/>
          <w:sz w:val="26"/>
          <w:szCs w:val="26"/>
        </w:rPr>
        <w:t>tuvo al Presidente Municipal, Síndica Procuradora y Hacendaria, Tesorero Municipal y Director de Recursos Humanos, todas del H. Ayuntamiento de Salina Cruz, Tehuantepec, Oaxaca, por no objetadas las pruebas del actor, al haber efectuado dicha objeción fuera del término de cinco días que establece el artículo 163 de la Ley de Justi</w:t>
      </w:r>
      <w:r w:rsidR="001E752F">
        <w:rPr>
          <w:rFonts w:ascii="Arial" w:hAnsi="Arial" w:cs="Arial"/>
          <w:bCs/>
          <w:sz w:val="26"/>
          <w:szCs w:val="26"/>
        </w:rPr>
        <w:t>cia Administrativa del Estado.</w:t>
      </w:r>
    </w:p>
    <w:p w:rsidR="001E752F" w:rsidRDefault="00C45284" w:rsidP="001E752F">
      <w:pPr>
        <w:pStyle w:val="Sinespaciado"/>
        <w:spacing w:after="120" w:line="360" w:lineRule="auto"/>
        <w:ind w:firstLine="708"/>
        <w:jc w:val="both"/>
        <w:rPr>
          <w:rFonts w:ascii="Arial" w:hAnsi="Arial" w:cs="Arial"/>
          <w:sz w:val="26"/>
          <w:szCs w:val="26"/>
        </w:rPr>
      </w:pPr>
      <w:r>
        <w:rPr>
          <w:rFonts w:ascii="Arial" w:hAnsi="Arial" w:cs="Arial"/>
          <w:bCs/>
          <w:sz w:val="26"/>
          <w:szCs w:val="26"/>
        </w:rPr>
        <w:t xml:space="preserve">Ahora bien, el acuerdo de dieciocho de agosto de dos mil diecisiete, en el cual se </w:t>
      </w:r>
      <w:r w:rsidR="007B5212">
        <w:rPr>
          <w:rFonts w:ascii="Arial" w:hAnsi="Arial" w:cs="Arial"/>
          <w:bCs/>
          <w:sz w:val="26"/>
          <w:szCs w:val="26"/>
        </w:rPr>
        <w:t xml:space="preserve">mandaron agregar a los autos, la pruebas ofrecidas por la parte actora en su demanda de nulidad, </w:t>
      </w:r>
      <w:r w:rsidR="001E752F">
        <w:rPr>
          <w:rFonts w:ascii="Arial" w:hAnsi="Arial" w:cs="Arial"/>
          <w:sz w:val="26"/>
          <w:szCs w:val="26"/>
        </w:rPr>
        <w:t>les fue notificado el</w:t>
      </w:r>
      <w:r w:rsidR="00866CC6">
        <w:rPr>
          <w:rFonts w:ascii="Arial" w:hAnsi="Arial" w:cs="Arial"/>
          <w:sz w:val="26"/>
          <w:szCs w:val="26"/>
        </w:rPr>
        <w:t xml:space="preserve"> treinta y uno del citado mes y año; por consiguiente, el término de cinco días que señala el precepto 163 de la le</w:t>
      </w:r>
      <w:r w:rsidR="008E2E6D">
        <w:rPr>
          <w:rFonts w:ascii="Arial" w:hAnsi="Arial" w:cs="Arial"/>
          <w:sz w:val="26"/>
          <w:szCs w:val="26"/>
        </w:rPr>
        <w:t xml:space="preserve">y de la materia, </w:t>
      </w:r>
      <w:r w:rsidR="007B5212">
        <w:rPr>
          <w:rFonts w:ascii="Arial" w:hAnsi="Arial" w:cs="Arial"/>
          <w:sz w:val="26"/>
          <w:szCs w:val="26"/>
        </w:rPr>
        <w:t xml:space="preserve">transcurrió del </w:t>
      </w:r>
      <w:r w:rsidR="006E1068">
        <w:rPr>
          <w:rFonts w:ascii="Arial" w:hAnsi="Arial" w:cs="Arial"/>
          <w:sz w:val="26"/>
          <w:szCs w:val="26"/>
        </w:rPr>
        <w:t xml:space="preserve">uno al ocho de septiembre de dos mil diecisiete, tal y como </w:t>
      </w:r>
      <w:r w:rsidR="006519CC">
        <w:rPr>
          <w:rFonts w:ascii="Arial" w:hAnsi="Arial" w:cs="Arial"/>
          <w:sz w:val="26"/>
          <w:szCs w:val="26"/>
        </w:rPr>
        <w:t xml:space="preserve">se señaló </w:t>
      </w:r>
      <w:r w:rsidR="006E1068">
        <w:rPr>
          <w:rFonts w:ascii="Arial" w:hAnsi="Arial" w:cs="Arial"/>
          <w:sz w:val="26"/>
          <w:szCs w:val="26"/>
        </w:rPr>
        <w:t xml:space="preserve">en el acuerdo recurrido; en consecuencia, al haber presentado su escrito </w:t>
      </w:r>
      <w:r w:rsidR="00373B69">
        <w:rPr>
          <w:rFonts w:ascii="Arial" w:hAnsi="Arial" w:cs="Arial"/>
          <w:sz w:val="26"/>
          <w:szCs w:val="26"/>
        </w:rPr>
        <w:t>hasta el 19 del referido mes y año, es claro que había fenecido el término que tenían las autoridades demandadas para objetar las pruebas de la parte actora</w:t>
      </w:r>
      <w:r w:rsidR="007B5212">
        <w:rPr>
          <w:rFonts w:ascii="Arial" w:hAnsi="Arial" w:cs="Arial"/>
          <w:sz w:val="26"/>
          <w:szCs w:val="26"/>
        </w:rPr>
        <w:t>.</w:t>
      </w:r>
    </w:p>
    <w:p w:rsidR="001E752F" w:rsidRDefault="008A59EA" w:rsidP="001E752F">
      <w:pPr>
        <w:pStyle w:val="Sinespaciado"/>
        <w:spacing w:after="12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F43B0CA" wp14:editId="02E1FB5F">
                <wp:simplePos x="0" y="0"/>
                <wp:positionH relativeFrom="column">
                  <wp:posOffset>5433695</wp:posOffset>
                </wp:positionH>
                <wp:positionV relativeFrom="paragraph">
                  <wp:posOffset>2167890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A59EA" w:rsidRDefault="008A59EA" w:rsidP="008A59E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27.85pt;margin-top:170.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">
                <v:textbox>
                  <w:txbxContent>
                    <w:p w:rsidR="008A59EA" w:rsidRDefault="008A59EA" w:rsidP="008A59EA">
                      <w:pPr>
                        <w:rPr>
                          <w:sz w:val="16"/>
                          <w:szCs w:val="16"/>
                        </w:rPr>
                      </w:pPr>
                      <w:r>
                        <w:rPr>
                          <w:sz w:val="16"/>
                          <w:szCs w:val="16"/>
                        </w:rPr>
                        <w:t>Datos personales protegidos por el Art. 116 de la LGTAIP y el Art. 56 de la LTAIPEO</w:t>
                      </w:r>
                    </w:p>
                  </w:txbxContent>
                </v:textbox>
              </v:shape>
            </w:pict>
          </mc:Fallback>
        </mc:AlternateContent>
      </w:r>
      <w:r w:rsidR="007B5212">
        <w:rPr>
          <w:rFonts w:ascii="Arial" w:hAnsi="Arial" w:cs="Arial"/>
          <w:sz w:val="26"/>
          <w:szCs w:val="26"/>
        </w:rPr>
        <w:t xml:space="preserve">Asimismo </w:t>
      </w:r>
      <w:r w:rsidR="00EB5D94">
        <w:rPr>
          <w:rFonts w:ascii="Arial" w:hAnsi="Arial" w:cs="Arial"/>
          <w:sz w:val="26"/>
          <w:szCs w:val="26"/>
        </w:rPr>
        <w:t xml:space="preserve">contrario a lo que argumenta el recurrente, el término que establece el artículo 153 de la Ley de Justicia Administrativa para el Estado de Oaxaca, en cuanto a los nueve días que tienen las autoridades para contestar la demanda, es </w:t>
      </w:r>
      <w:r w:rsidR="00B6506E">
        <w:rPr>
          <w:rFonts w:ascii="Arial" w:hAnsi="Arial" w:cs="Arial"/>
          <w:sz w:val="26"/>
          <w:szCs w:val="26"/>
        </w:rPr>
        <w:t xml:space="preserve">indistinto al término </w:t>
      </w:r>
      <w:r w:rsidR="00BA5965">
        <w:rPr>
          <w:rFonts w:ascii="Arial" w:hAnsi="Arial" w:cs="Arial"/>
          <w:sz w:val="26"/>
          <w:szCs w:val="26"/>
        </w:rPr>
        <w:t xml:space="preserve">de cinco días determinado en el artículo </w:t>
      </w:r>
      <w:r w:rsidR="00BA5965">
        <w:rPr>
          <w:rFonts w:ascii="Arial" w:hAnsi="Arial" w:cs="Arial"/>
          <w:bCs/>
          <w:sz w:val="26"/>
          <w:szCs w:val="26"/>
        </w:rPr>
        <w:t xml:space="preserve">163 de la referida Ley, </w:t>
      </w:r>
      <w:r w:rsidR="00B6506E">
        <w:rPr>
          <w:rFonts w:ascii="Arial" w:hAnsi="Arial" w:cs="Arial"/>
          <w:sz w:val="26"/>
          <w:szCs w:val="26"/>
        </w:rPr>
        <w:t xml:space="preserve">que </w:t>
      </w:r>
      <w:r w:rsidR="00BA5965">
        <w:rPr>
          <w:rFonts w:ascii="Arial" w:hAnsi="Arial" w:cs="Arial"/>
          <w:sz w:val="26"/>
          <w:szCs w:val="26"/>
        </w:rPr>
        <w:t xml:space="preserve">se </w:t>
      </w:r>
      <w:r w:rsidR="00B6506E">
        <w:rPr>
          <w:rFonts w:ascii="Arial" w:hAnsi="Arial" w:cs="Arial"/>
          <w:sz w:val="26"/>
          <w:szCs w:val="26"/>
        </w:rPr>
        <w:t>concede a las p</w:t>
      </w:r>
      <w:r w:rsidR="00962A94">
        <w:rPr>
          <w:rFonts w:ascii="Arial" w:hAnsi="Arial" w:cs="Arial"/>
          <w:sz w:val="26"/>
          <w:szCs w:val="26"/>
        </w:rPr>
        <w:t xml:space="preserve">artes para objetar las pruebas; por tanto, en ningún momento se limita a las demandadas, el derecho que tienen de contestar la demanda dentro del término concedido, </w:t>
      </w:r>
      <w:r w:rsidR="003F7992">
        <w:rPr>
          <w:rFonts w:ascii="Arial" w:hAnsi="Arial" w:cs="Arial"/>
          <w:sz w:val="26"/>
          <w:szCs w:val="26"/>
        </w:rPr>
        <w:t>al tratarse de supuestos diferentes</w:t>
      </w:r>
      <w:r w:rsidR="0070070D">
        <w:rPr>
          <w:rFonts w:ascii="Arial" w:hAnsi="Arial" w:cs="Arial"/>
          <w:sz w:val="26"/>
          <w:szCs w:val="26"/>
        </w:rPr>
        <w:t>; por una parte la contestación a la demanda y la otra el poder objetar los doc</w:t>
      </w:r>
      <w:r w:rsidR="001E752F">
        <w:rPr>
          <w:rFonts w:ascii="Arial" w:hAnsi="Arial" w:cs="Arial"/>
          <w:sz w:val="26"/>
          <w:szCs w:val="26"/>
        </w:rPr>
        <w:t>umentos ofrecidos como pruebas.</w:t>
      </w:r>
      <w:r w:rsidRPr="008A59EA">
        <w:rPr>
          <w:rFonts w:ascii="Times New Roman" w:hAnsi="Times New Roman" w:cs="Times New Roman"/>
          <w:sz w:val="24"/>
          <w:szCs w:val="24"/>
          <w:lang w:val="es-MX" w:eastAsia="es-MX"/>
        </w:rPr>
        <w:t xml:space="preserve"> </w:t>
      </w:r>
    </w:p>
    <w:p w:rsidR="001E752F" w:rsidRDefault="009806E4" w:rsidP="001E752F">
      <w:pPr>
        <w:pStyle w:val="Sinespaciado"/>
        <w:spacing w:after="120" w:line="360" w:lineRule="auto"/>
        <w:ind w:firstLine="708"/>
        <w:jc w:val="both"/>
        <w:rPr>
          <w:rFonts w:ascii="Arial" w:hAnsi="Arial" w:cs="Arial"/>
          <w:sz w:val="26"/>
          <w:szCs w:val="26"/>
        </w:rPr>
      </w:pPr>
      <w:r>
        <w:rPr>
          <w:rFonts w:ascii="Arial" w:hAnsi="Arial" w:cs="Arial"/>
          <w:bCs/>
          <w:sz w:val="26"/>
          <w:szCs w:val="26"/>
        </w:rPr>
        <w:t xml:space="preserve">En tal virtud, al no existir agravio que reparar, </w:t>
      </w:r>
      <w:r>
        <w:rPr>
          <w:rFonts w:ascii="Arial" w:hAnsi="Arial" w:cs="Arial"/>
          <w:sz w:val="26"/>
          <w:szCs w:val="26"/>
        </w:rPr>
        <w:t xml:space="preserve">por las razones aquí apuntadas, se </w:t>
      </w:r>
      <w:r w:rsidRPr="00CA3241">
        <w:rPr>
          <w:rFonts w:ascii="Arial" w:hAnsi="Arial" w:cs="Arial"/>
          <w:b/>
          <w:sz w:val="26"/>
          <w:szCs w:val="26"/>
        </w:rPr>
        <w:t>confirma</w:t>
      </w:r>
      <w:r>
        <w:rPr>
          <w:rFonts w:ascii="Arial" w:hAnsi="Arial" w:cs="Arial"/>
          <w:sz w:val="26"/>
          <w:szCs w:val="26"/>
        </w:rPr>
        <w:t>,</w:t>
      </w:r>
      <w:r w:rsidRPr="00CA3241">
        <w:rPr>
          <w:rFonts w:ascii="Arial" w:hAnsi="Arial" w:cs="Arial"/>
          <w:sz w:val="26"/>
          <w:szCs w:val="26"/>
        </w:rPr>
        <w:t xml:space="preserve"> la parte</w:t>
      </w:r>
      <w:r>
        <w:rPr>
          <w:rFonts w:ascii="Arial" w:hAnsi="Arial" w:cs="Arial"/>
          <w:sz w:val="26"/>
          <w:szCs w:val="26"/>
        </w:rPr>
        <w:t xml:space="preserve"> relativa del acuerdo recurrido</w:t>
      </w:r>
      <w:r w:rsidRPr="00372D3D">
        <w:rPr>
          <w:rFonts w:ascii="Arial" w:hAnsi="Arial" w:cs="Arial"/>
          <w:sz w:val="26"/>
          <w:szCs w:val="26"/>
        </w:rPr>
        <w:t xml:space="preserve">, </w:t>
      </w:r>
      <w:r>
        <w:rPr>
          <w:rFonts w:ascii="Arial" w:hAnsi="Arial" w:cs="Arial"/>
          <w:sz w:val="26"/>
          <w:szCs w:val="26"/>
        </w:rPr>
        <w:t xml:space="preserve">y </w:t>
      </w:r>
      <w:r w:rsidRPr="00372D3D">
        <w:rPr>
          <w:rFonts w:ascii="Arial" w:hAnsi="Arial" w:cs="Arial"/>
          <w:sz w:val="26"/>
          <w:szCs w:val="26"/>
        </w:rPr>
        <w:t>con fundamento en los artículos 207 y 208 de la Ley de Justicia Administrativa para el Estado,</w:t>
      </w:r>
      <w:r w:rsidR="001E752F">
        <w:rPr>
          <w:rFonts w:ascii="Arial" w:hAnsi="Arial" w:cs="Arial"/>
          <w:sz w:val="26"/>
          <w:szCs w:val="26"/>
        </w:rPr>
        <w:t xml:space="preserve"> vigente hasta el veinte de octubre de dos mil diecisiete,</w:t>
      </w:r>
      <w:r w:rsidRPr="00372D3D">
        <w:rPr>
          <w:rFonts w:ascii="Arial" w:hAnsi="Arial" w:cs="Arial"/>
          <w:sz w:val="26"/>
          <w:szCs w:val="26"/>
        </w:rPr>
        <w:t xml:space="preserve"> se:</w:t>
      </w:r>
    </w:p>
    <w:p w:rsidR="001E752F" w:rsidRDefault="009806E4" w:rsidP="001E752F">
      <w:pPr>
        <w:pStyle w:val="Sinespaciado"/>
        <w:spacing w:after="120" w:line="360" w:lineRule="auto"/>
        <w:ind w:firstLine="708"/>
        <w:jc w:val="center"/>
        <w:rPr>
          <w:rFonts w:ascii="Arial" w:hAnsi="Arial" w:cs="Arial"/>
          <w:b/>
          <w:sz w:val="26"/>
          <w:szCs w:val="26"/>
        </w:rPr>
      </w:pPr>
      <w:r w:rsidRPr="00372D3D">
        <w:rPr>
          <w:rFonts w:ascii="Arial" w:hAnsi="Arial" w:cs="Arial"/>
          <w:b/>
          <w:sz w:val="26"/>
          <w:szCs w:val="26"/>
        </w:rPr>
        <w:t>R E S U E L V E</w:t>
      </w:r>
    </w:p>
    <w:p w:rsidR="001E752F" w:rsidRDefault="009806E4" w:rsidP="001E752F">
      <w:pPr>
        <w:pStyle w:val="Sinespaciado"/>
        <w:spacing w:after="120" w:line="360" w:lineRule="auto"/>
        <w:ind w:firstLine="708"/>
        <w:jc w:val="both"/>
        <w:rPr>
          <w:rFonts w:ascii="Arial" w:hAnsi="Arial" w:cs="Arial"/>
          <w:sz w:val="26"/>
          <w:szCs w:val="26"/>
        </w:rPr>
      </w:pPr>
      <w:r w:rsidRPr="00372D3D">
        <w:rPr>
          <w:rFonts w:ascii="Arial" w:hAnsi="Arial" w:cs="Arial"/>
          <w:b/>
          <w:sz w:val="26"/>
          <w:szCs w:val="26"/>
        </w:rPr>
        <w:t>PRIMERO</w:t>
      </w:r>
      <w:r w:rsidRPr="00372D3D">
        <w:rPr>
          <w:rFonts w:ascii="Arial" w:hAnsi="Arial" w:cs="Arial"/>
          <w:sz w:val="26"/>
          <w:szCs w:val="26"/>
        </w:rPr>
        <w:t xml:space="preserve">. </w:t>
      </w:r>
      <w:r>
        <w:rPr>
          <w:rFonts w:ascii="Arial" w:hAnsi="Arial" w:cs="Arial"/>
          <w:sz w:val="26"/>
          <w:szCs w:val="26"/>
        </w:rPr>
        <w:t xml:space="preserve">Se </w:t>
      </w:r>
      <w:r>
        <w:rPr>
          <w:rFonts w:ascii="Arial" w:hAnsi="Arial" w:cs="Arial"/>
          <w:b/>
          <w:sz w:val="26"/>
          <w:szCs w:val="26"/>
        </w:rPr>
        <w:t xml:space="preserve">CONFIRMA </w:t>
      </w:r>
      <w:r>
        <w:rPr>
          <w:rFonts w:ascii="Arial" w:hAnsi="Arial" w:cs="Arial"/>
          <w:sz w:val="26"/>
          <w:szCs w:val="26"/>
        </w:rPr>
        <w:t>la parte relativa del uno de diciembre de dos mil diecisiete, por las razones apuntadas en el considerando que antecede</w:t>
      </w:r>
      <w:r w:rsidRPr="00372D3D">
        <w:rPr>
          <w:rFonts w:ascii="Arial" w:hAnsi="Arial" w:cs="Arial"/>
          <w:sz w:val="26"/>
          <w:szCs w:val="26"/>
        </w:rPr>
        <w:t xml:space="preserve">. </w:t>
      </w:r>
    </w:p>
    <w:p w:rsidR="001E752F" w:rsidRDefault="001E752F" w:rsidP="001E752F">
      <w:pPr>
        <w:tabs>
          <w:tab w:val="left" w:pos="1985"/>
        </w:tabs>
        <w:spacing w:line="360" w:lineRule="auto"/>
        <w:ind w:firstLine="708"/>
        <w:jc w:val="both"/>
        <w:rPr>
          <w:rFonts w:ascii="Arial" w:eastAsia="Calibri" w:hAnsi="Arial" w:cs="Arial"/>
          <w:bCs/>
          <w:sz w:val="26"/>
          <w:szCs w:val="26"/>
        </w:rPr>
      </w:pPr>
      <w:r>
        <w:rPr>
          <w:rFonts w:ascii="Arial" w:eastAsia="Calibri" w:hAnsi="Arial" w:cs="Arial"/>
          <w:b/>
          <w:bCs/>
          <w:sz w:val="26"/>
          <w:szCs w:val="26"/>
        </w:rPr>
        <w:lastRenderedPageBreak/>
        <w:t>SEGUNDO.</w:t>
      </w:r>
      <w:r>
        <w:rPr>
          <w:rFonts w:ascii="Arial" w:eastAsia="Calibri" w:hAnsi="Arial" w:cs="Arial"/>
          <w:bCs/>
          <w:sz w:val="26"/>
          <w:szCs w:val="26"/>
        </w:rPr>
        <w:t xml:space="preserve"> </w:t>
      </w:r>
      <w:r>
        <w:rPr>
          <w:rFonts w:ascii="Arial" w:eastAsia="Calibri" w:hAnsi="Arial" w:cs="Arial"/>
          <w:b/>
          <w:bCs/>
          <w:sz w:val="26"/>
          <w:szCs w:val="26"/>
        </w:rPr>
        <w:t>NOTIFÍQUESE Y CÚMPLASE;</w:t>
      </w:r>
      <w:r>
        <w:rPr>
          <w:rFonts w:ascii="Arial" w:eastAsia="Calibri" w:hAnsi="Arial" w:cs="Arial"/>
          <w:bCs/>
          <w:sz w:val="26"/>
          <w:szCs w:val="26"/>
        </w:rPr>
        <w:t xml:space="preserve"> con copia certificada de la presente resolución, vuelvan</w:t>
      </w:r>
      <w:r>
        <w:rPr>
          <w:rFonts w:ascii="Arial" w:eastAsia="Calibri" w:hAnsi="Arial" w:cs="Arial"/>
          <w:b/>
          <w:bCs/>
          <w:sz w:val="26"/>
          <w:szCs w:val="26"/>
        </w:rPr>
        <w:t xml:space="preserve"> </w:t>
      </w:r>
      <w:r>
        <w:rPr>
          <w:rFonts w:ascii="Arial" w:eastAsia="Calibri" w:hAnsi="Arial" w:cs="Arial"/>
          <w:bCs/>
          <w:sz w:val="26"/>
          <w:szCs w:val="26"/>
        </w:rPr>
        <w:t>las constancias remitidas a la Tercera Sala Unitaria de este Tribunal, y en su oportunidad archívese el cuaderno de revisión como asunto concluido.</w:t>
      </w:r>
    </w:p>
    <w:p w:rsidR="001E752F" w:rsidRDefault="001E752F" w:rsidP="001E752F">
      <w:pPr>
        <w:tabs>
          <w:tab w:val="left" w:pos="1985"/>
        </w:tabs>
        <w:spacing w:line="360" w:lineRule="auto"/>
        <w:ind w:firstLine="708"/>
        <w:jc w:val="both"/>
        <w:rPr>
          <w:rFonts w:ascii="Arial" w:eastAsia="Calibri" w:hAnsi="Arial" w:cs="Arial"/>
          <w:bCs/>
          <w:sz w:val="26"/>
          <w:szCs w:val="26"/>
        </w:rPr>
      </w:pPr>
    </w:p>
    <w:p w:rsidR="001E752F" w:rsidRPr="00717CF3" w:rsidRDefault="001E752F" w:rsidP="001E752F">
      <w:pPr>
        <w:tabs>
          <w:tab w:val="left" w:pos="1985"/>
        </w:tabs>
        <w:spacing w:line="360" w:lineRule="auto"/>
        <w:ind w:firstLine="708"/>
        <w:jc w:val="both"/>
        <w:rPr>
          <w:rFonts w:ascii="Arial" w:hAnsi="Arial" w:cs="Arial"/>
          <w:bCs/>
          <w:sz w:val="26"/>
          <w:szCs w:val="26"/>
        </w:rPr>
      </w:pPr>
      <w:r w:rsidRPr="00717CF3">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E752F" w:rsidRPr="00717CF3" w:rsidRDefault="001E752F" w:rsidP="001E752F">
      <w:pPr>
        <w:tabs>
          <w:tab w:val="left" w:pos="1985"/>
        </w:tabs>
        <w:spacing w:line="360" w:lineRule="auto"/>
        <w:ind w:firstLine="708"/>
        <w:jc w:val="both"/>
        <w:rPr>
          <w:rFonts w:ascii="Arial" w:hAnsi="Arial" w:cs="Arial"/>
          <w:bCs/>
          <w:sz w:val="26"/>
          <w:szCs w:val="26"/>
        </w:rPr>
      </w:pP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Pr="00717CF3" w:rsidRDefault="001E752F" w:rsidP="001E752F">
      <w:pPr>
        <w:spacing w:line="360" w:lineRule="auto"/>
        <w:rPr>
          <w:rFonts w:ascii="Arial" w:hAnsi="Arial" w:cs="Arial"/>
          <w:sz w:val="26"/>
          <w:szCs w:val="26"/>
        </w:rPr>
      </w:pPr>
    </w:p>
    <w:p w:rsidR="001E752F" w:rsidRPr="00717CF3" w:rsidRDefault="001E752F" w:rsidP="001E752F">
      <w:pPr>
        <w:jc w:val="center"/>
        <w:rPr>
          <w:rFonts w:ascii="Arial" w:hAnsi="Arial" w:cs="Arial"/>
          <w:sz w:val="26"/>
          <w:szCs w:val="26"/>
        </w:rPr>
      </w:pPr>
      <w:r w:rsidRPr="00717CF3">
        <w:rPr>
          <w:rFonts w:ascii="Arial" w:hAnsi="Arial" w:cs="Arial"/>
          <w:sz w:val="26"/>
          <w:szCs w:val="26"/>
        </w:rPr>
        <w:t>MAGISTRADO ADRIÁN QUIROGA AVENDAÑO.</w:t>
      </w:r>
    </w:p>
    <w:p w:rsidR="001E752F" w:rsidRPr="00717CF3" w:rsidRDefault="001E752F" w:rsidP="001E752F">
      <w:pPr>
        <w:jc w:val="center"/>
        <w:rPr>
          <w:rFonts w:ascii="Arial" w:hAnsi="Arial" w:cs="Arial"/>
          <w:sz w:val="26"/>
          <w:szCs w:val="26"/>
        </w:rPr>
      </w:pPr>
      <w:r w:rsidRPr="00717CF3">
        <w:rPr>
          <w:rFonts w:ascii="Arial" w:hAnsi="Arial" w:cs="Arial"/>
          <w:sz w:val="26"/>
          <w:szCs w:val="26"/>
        </w:rPr>
        <w:t>PRESIDENTE</w:t>
      </w: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Pr="00717CF3" w:rsidRDefault="001E752F" w:rsidP="001E752F">
      <w:pPr>
        <w:spacing w:line="360" w:lineRule="auto"/>
        <w:rPr>
          <w:rFonts w:ascii="Arial" w:hAnsi="Arial" w:cs="Arial"/>
          <w:sz w:val="26"/>
          <w:szCs w:val="26"/>
        </w:rPr>
      </w:pPr>
    </w:p>
    <w:p w:rsidR="001E752F" w:rsidRPr="00717CF3" w:rsidRDefault="001E752F" w:rsidP="001E752F">
      <w:pPr>
        <w:spacing w:line="360" w:lineRule="auto"/>
        <w:jc w:val="center"/>
        <w:rPr>
          <w:rFonts w:ascii="Arial" w:hAnsi="Arial" w:cs="Arial"/>
          <w:sz w:val="26"/>
          <w:szCs w:val="26"/>
        </w:rPr>
      </w:pPr>
    </w:p>
    <w:p w:rsidR="001E752F" w:rsidRPr="00717CF3" w:rsidRDefault="001E752F" w:rsidP="001E752F">
      <w:pPr>
        <w:spacing w:line="360" w:lineRule="auto"/>
        <w:jc w:val="center"/>
        <w:rPr>
          <w:rFonts w:ascii="Arial" w:hAnsi="Arial" w:cs="Arial"/>
          <w:sz w:val="26"/>
          <w:szCs w:val="26"/>
        </w:rPr>
      </w:pPr>
      <w:r w:rsidRPr="00717CF3">
        <w:rPr>
          <w:rFonts w:ascii="Arial" w:hAnsi="Arial" w:cs="Arial"/>
          <w:sz w:val="26"/>
          <w:szCs w:val="26"/>
        </w:rPr>
        <w:t>MAGISTRADO HUGO VILLEGAS AQUINO.</w:t>
      </w:r>
    </w:p>
    <w:p w:rsidR="001E752F" w:rsidRDefault="001E752F" w:rsidP="001E752F">
      <w:pPr>
        <w:spacing w:line="360" w:lineRule="auto"/>
        <w:rPr>
          <w:rFonts w:ascii="Arial" w:hAnsi="Arial" w:cs="Arial"/>
          <w:b/>
          <w:sz w:val="26"/>
          <w:szCs w:val="26"/>
        </w:rPr>
      </w:pPr>
    </w:p>
    <w:p w:rsidR="001E752F" w:rsidRDefault="001E752F" w:rsidP="001E752F">
      <w:pPr>
        <w:spacing w:line="360" w:lineRule="auto"/>
        <w:rPr>
          <w:rFonts w:ascii="Arial" w:hAnsi="Arial" w:cs="Arial"/>
          <w:b/>
          <w:sz w:val="26"/>
          <w:szCs w:val="26"/>
        </w:rPr>
      </w:pPr>
    </w:p>
    <w:p w:rsidR="001E752F" w:rsidRPr="00717CF3" w:rsidRDefault="001E752F" w:rsidP="001E752F">
      <w:pPr>
        <w:spacing w:line="360" w:lineRule="auto"/>
        <w:rPr>
          <w:rFonts w:ascii="Arial" w:hAnsi="Arial" w:cs="Arial"/>
          <w:b/>
          <w:sz w:val="26"/>
          <w:szCs w:val="26"/>
        </w:rPr>
      </w:pPr>
    </w:p>
    <w:p w:rsidR="001E752F" w:rsidRDefault="001E752F" w:rsidP="001E752F">
      <w:pPr>
        <w:spacing w:line="360" w:lineRule="auto"/>
        <w:rPr>
          <w:rFonts w:ascii="Arial" w:hAnsi="Arial" w:cs="Arial"/>
          <w:sz w:val="26"/>
          <w:szCs w:val="26"/>
        </w:rPr>
      </w:pPr>
    </w:p>
    <w:p w:rsidR="001E752F" w:rsidRPr="00717CF3" w:rsidRDefault="001E752F" w:rsidP="001E752F">
      <w:pPr>
        <w:spacing w:line="360" w:lineRule="auto"/>
        <w:rPr>
          <w:rFonts w:ascii="Arial" w:hAnsi="Arial" w:cs="Arial"/>
          <w:sz w:val="26"/>
          <w:szCs w:val="26"/>
        </w:rPr>
      </w:pPr>
    </w:p>
    <w:p w:rsidR="001E752F" w:rsidRPr="00717CF3" w:rsidRDefault="001E752F" w:rsidP="001E752F">
      <w:pPr>
        <w:spacing w:line="360" w:lineRule="auto"/>
        <w:jc w:val="center"/>
        <w:rPr>
          <w:rFonts w:ascii="Arial" w:hAnsi="Arial" w:cs="Arial"/>
          <w:sz w:val="26"/>
          <w:szCs w:val="26"/>
        </w:rPr>
      </w:pPr>
      <w:r w:rsidRPr="00717CF3">
        <w:rPr>
          <w:rFonts w:ascii="Arial" w:hAnsi="Arial" w:cs="Arial"/>
          <w:sz w:val="26"/>
          <w:szCs w:val="26"/>
        </w:rPr>
        <w:t>MAGISTRADO ENRIQUE PACHECO MARTÍNEZ.</w:t>
      </w: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Default="001E752F" w:rsidP="001E752F">
      <w:pPr>
        <w:spacing w:line="360" w:lineRule="auto"/>
        <w:rPr>
          <w:rFonts w:ascii="Arial" w:hAnsi="Arial" w:cs="Arial"/>
          <w:sz w:val="26"/>
          <w:szCs w:val="26"/>
        </w:rPr>
      </w:pPr>
    </w:p>
    <w:p w:rsidR="001E752F" w:rsidRPr="00717CF3" w:rsidRDefault="001E752F" w:rsidP="001E752F">
      <w:pPr>
        <w:spacing w:line="360" w:lineRule="auto"/>
        <w:rPr>
          <w:rFonts w:ascii="Arial" w:hAnsi="Arial" w:cs="Arial"/>
          <w:sz w:val="26"/>
          <w:szCs w:val="26"/>
        </w:rPr>
      </w:pPr>
    </w:p>
    <w:p w:rsidR="001E752F" w:rsidRPr="00717CF3" w:rsidRDefault="001E752F" w:rsidP="001E752F">
      <w:pPr>
        <w:spacing w:line="360" w:lineRule="auto"/>
        <w:jc w:val="center"/>
        <w:rPr>
          <w:rFonts w:ascii="Arial" w:hAnsi="Arial" w:cs="Arial"/>
          <w:sz w:val="26"/>
          <w:szCs w:val="26"/>
        </w:rPr>
      </w:pPr>
      <w:r w:rsidRPr="00717CF3">
        <w:rPr>
          <w:rFonts w:ascii="Arial" w:hAnsi="Arial" w:cs="Arial"/>
          <w:sz w:val="26"/>
          <w:szCs w:val="26"/>
        </w:rPr>
        <w:t>MAGISTRADA MARÍA ELENA VILLA DE JARQUÍN</w:t>
      </w:r>
    </w:p>
    <w:p w:rsidR="001E752F" w:rsidRDefault="001E752F" w:rsidP="001E752F">
      <w:pPr>
        <w:jc w:val="center"/>
        <w:rPr>
          <w:rFonts w:ascii="Arial" w:eastAsiaTheme="minorEastAsia" w:hAnsi="Arial" w:cs="Arial"/>
          <w:sz w:val="26"/>
          <w:szCs w:val="26"/>
          <w:lang w:eastAsia="es-MX"/>
        </w:rPr>
      </w:pPr>
    </w:p>
    <w:p w:rsidR="001E752F" w:rsidRPr="005A1E8F" w:rsidRDefault="001E752F" w:rsidP="001E752F">
      <w:pPr>
        <w:jc w:val="center"/>
        <w:rPr>
          <w:rFonts w:ascii="Arial" w:eastAsiaTheme="minorEastAsia" w:hAnsi="Arial" w:cs="Arial"/>
          <w:b/>
          <w:sz w:val="14"/>
          <w:szCs w:val="26"/>
          <w:lang w:eastAsia="es-MX"/>
        </w:rPr>
      </w:pPr>
      <w:r w:rsidRPr="005A1E8F">
        <w:rPr>
          <w:rFonts w:ascii="Arial" w:eastAsiaTheme="minorEastAsia" w:hAnsi="Arial" w:cs="Arial"/>
          <w:b/>
          <w:sz w:val="14"/>
          <w:szCs w:val="26"/>
          <w:lang w:eastAsia="es-MX"/>
        </w:rPr>
        <w:t xml:space="preserve">LAS PRESENTES FIRMAS CORRESPONDEN </w:t>
      </w:r>
      <w:r>
        <w:rPr>
          <w:rFonts w:ascii="Arial" w:eastAsiaTheme="minorEastAsia" w:hAnsi="Arial" w:cs="Arial"/>
          <w:b/>
          <w:sz w:val="14"/>
          <w:szCs w:val="26"/>
          <w:lang w:eastAsia="es-MX"/>
        </w:rPr>
        <w:t xml:space="preserve">AL </w:t>
      </w:r>
      <w:r w:rsidRPr="005A1E8F">
        <w:rPr>
          <w:rFonts w:ascii="Arial" w:eastAsiaTheme="minorEastAsia" w:hAnsi="Arial" w:cs="Arial"/>
          <w:b/>
          <w:sz w:val="14"/>
          <w:szCs w:val="26"/>
          <w:lang w:eastAsia="es-MX"/>
        </w:rPr>
        <w:t>RECURSO DE REVISI</w:t>
      </w:r>
      <w:r>
        <w:rPr>
          <w:rFonts w:ascii="Arial" w:eastAsiaTheme="minorEastAsia" w:hAnsi="Arial" w:cs="Arial"/>
          <w:b/>
          <w:sz w:val="14"/>
          <w:szCs w:val="26"/>
          <w:lang w:eastAsia="es-MX"/>
        </w:rPr>
        <w:t>ÓN 027</w:t>
      </w:r>
      <w:r w:rsidRPr="005A1E8F">
        <w:rPr>
          <w:rFonts w:ascii="Arial" w:eastAsiaTheme="minorEastAsia" w:hAnsi="Arial" w:cs="Arial"/>
          <w:b/>
          <w:sz w:val="14"/>
          <w:szCs w:val="26"/>
          <w:lang w:eastAsia="es-MX"/>
        </w:rPr>
        <w:t>/2018</w:t>
      </w:r>
    </w:p>
    <w:p w:rsidR="001E752F" w:rsidRDefault="001E752F" w:rsidP="001E752F">
      <w:pPr>
        <w:jc w:val="center"/>
        <w:rPr>
          <w:rFonts w:ascii="Arial" w:eastAsiaTheme="minorEastAsia" w:hAnsi="Arial" w:cs="Arial"/>
          <w:sz w:val="26"/>
          <w:szCs w:val="26"/>
          <w:lang w:eastAsia="es-MX"/>
        </w:rPr>
      </w:pPr>
    </w:p>
    <w:p w:rsidR="001E752F" w:rsidRDefault="001E752F" w:rsidP="001E752F">
      <w:pPr>
        <w:jc w:val="center"/>
        <w:rPr>
          <w:rFonts w:ascii="Arial" w:eastAsiaTheme="minorEastAsia" w:hAnsi="Arial" w:cs="Arial"/>
          <w:sz w:val="26"/>
          <w:szCs w:val="26"/>
          <w:lang w:eastAsia="es-MX"/>
        </w:rPr>
      </w:pPr>
    </w:p>
    <w:p w:rsidR="001E752F" w:rsidRDefault="001E752F" w:rsidP="001E752F">
      <w:pPr>
        <w:jc w:val="center"/>
        <w:rPr>
          <w:rFonts w:ascii="Arial" w:eastAsiaTheme="minorEastAsia" w:hAnsi="Arial" w:cs="Arial"/>
          <w:sz w:val="26"/>
          <w:szCs w:val="26"/>
          <w:lang w:eastAsia="es-MX"/>
        </w:rPr>
      </w:pPr>
    </w:p>
    <w:p w:rsidR="001E752F" w:rsidRDefault="001E752F" w:rsidP="001E752F">
      <w:pPr>
        <w:jc w:val="center"/>
        <w:rPr>
          <w:rFonts w:ascii="Arial" w:eastAsiaTheme="minorEastAsia" w:hAnsi="Arial" w:cs="Arial"/>
          <w:sz w:val="26"/>
          <w:szCs w:val="26"/>
          <w:lang w:eastAsia="es-MX"/>
        </w:rPr>
      </w:pPr>
    </w:p>
    <w:p w:rsidR="001E752F" w:rsidRDefault="001E752F" w:rsidP="001E752F">
      <w:pPr>
        <w:jc w:val="center"/>
        <w:rPr>
          <w:rFonts w:ascii="Arial" w:eastAsiaTheme="minorEastAsia" w:hAnsi="Arial" w:cs="Arial"/>
          <w:sz w:val="26"/>
          <w:szCs w:val="26"/>
          <w:lang w:eastAsia="es-MX"/>
        </w:rPr>
      </w:pPr>
    </w:p>
    <w:p w:rsidR="001E752F" w:rsidRDefault="001E752F" w:rsidP="001E752F">
      <w:pPr>
        <w:jc w:val="center"/>
        <w:rPr>
          <w:rFonts w:ascii="Arial" w:eastAsiaTheme="minorEastAsia" w:hAnsi="Arial" w:cs="Arial"/>
          <w:sz w:val="26"/>
          <w:szCs w:val="26"/>
          <w:lang w:eastAsia="es-MX"/>
        </w:rPr>
      </w:pPr>
    </w:p>
    <w:p w:rsidR="001E752F" w:rsidRDefault="001E752F" w:rsidP="001E752F">
      <w:pPr>
        <w:jc w:val="center"/>
        <w:rPr>
          <w:rFonts w:ascii="Arial" w:eastAsiaTheme="minorEastAsia" w:hAnsi="Arial" w:cs="Arial"/>
          <w:sz w:val="26"/>
          <w:szCs w:val="26"/>
          <w:lang w:eastAsia="es-MX"/>
        </w:rPr>
      </w:pPr>
    </w:p>
    <w:p w:rsidR="001E752F" w:rsidRPr="00717CF3" w:rsidRDefault="001E752F" w:rsidP="001E752F">
      <w:pPr>
        <w:rPr>
          <w:rFonts w:ascii="Arial" w:eastAsiaTheme="minorEastAsia" w:hAnsi="Arial" w:cs="Arial"/>
          <w:sz w:val="26"/>
          <w:szCs w:val="26"/>
          <w:lang w:eastAsia="es-MX"/>
        </w:rPr>
      </w:pPr>
    </w:p>
    <w:p w:rsidR="001E752F" w:rsidRPr="00717CF3" w:rsidRDefault="001E752F" w:rsidP="001E752F">
      <w:pPr>
        <w:jc w:val="center"/>
        <w:rPr>
          <w:rFonts w:ascii="Arial" w:hAnsi="Arial" w:cs="Arial"/>
          <w:sz w:val="26"/>
          <w:szCs w:val="26"/>
        </w:rPr>
      </w:pPr>
      <w:r w:rsidRPr="00717CF3">
        <w:rPr>
          <w:rFonts w:ascii="Arial" w:eastAsiaTheme="minorEastAsia" w:hAnsi="Arial" w:cs="Arial"/>
          <w:sz w:val="26"/>
          <w:szCs w:val="26"/>
          <w:lang w:eastAsia="es-MX"/>
        </w:rPr>
        <w:t>MAGISTRADO MANUEL VELASCO ALCÁNTARA</w:t>
      </w:r>
    </w:p>
    <w:p w:rsidR="001E752F" w:rsidRPr="00717CF3" w:rsidRDefault="001E752F" w:rsidP="001E752F">
      <w:pPr>
        <w:rPr>
          <w:rFonts w:ascii="Arial" w:hAnsi="Arial" w:cs="Arial"/>
          <w:sz w:val="26"/>
          <w:szCs w:val="26"/>
        </w:rPr>
      </w:pPr>
    </w:p>
    <w:p w:rsidR="001E752F" w:rsidRDefault="001E752F" w:rsidP="001E752F">
      <w:pPr>
        <w:rPr>
          <w:rFonts w:ascii="Arial" w:hAnsi="Arial" w:cs="Arial"/>
          <w:sz w:val="26"/>
          <w:szCs w:val="26"/>
        </w:rPr>
      </w:pPr>
    </w:p>
    <w:p w:rsidR="001E752F" w:rsidRDefault="001E752F" w:rsidP="001E752F">
      <w:pPr>
        <w:rPr>
          <w:rFonts w:ascii="Arial" w:hAnsi="Arial" w:cs="Arial"/>
          <w:sz w:val="26"/>
          <w:szCs w:val="26"/>
        </w:rPr>
      </w:pPr>
    </w:p>
    <w:p w:rsidR="001E752F" w:rsidRDefault="001E752F" w:rsidP="001E752F">
      <w:pPr>
        <w:rPr>
          <w:rFonts w:ascii="Arial" w:hAnsi="Arial" w:cs="Arial"/>
          <w:sz w:val="26"/>
          <w:szCs w:val="26"/>
        </w:rPr>
      </w:pPr>
    </w:p>
    <w:p w:rsidR="001E752F" w:rsidRDefault="001E752F" w:rsidP="001E752F">
      <w:pPr>
        <w:rPr>
          <w:rFonts w:ascii="Arial" w:hAnsi="Arial" w:cs="Arial"/>
          <w:sz w:val="26"/>
          <w:szCs w:val="26"/>
        </w:rPr>
      </w:pPr>
    </w:p>
    <w:p w:rsidR="001E752F" w:rsidRDefault="001E752F" w:rsidP="001E752F">
      <w:pPr>
        <w:rPr>
          <w:rFonts w:ascii="Arial" w:hAnsi="Arial" w:cs="Arial"/>
          <w:sz w:val="26"/>
          <w:szCs w:val="26"/>
        </w:rPr>
      </w:pPr>
    </w:p>
    <w:p w:rsidR="001E752F" w:rsidRDefault="001E752F" w:rsidP="001E752F">
      <w:pPr>
        <w:rPr>
          <w:rFonts w:ascii="Arial" w:hAnsi="Arial" w:cs="Arial"/>
          <w:sz w:val="26"/>
          <w:szCs w:val="26"/>
        </w:rPr>
      </w:pPr>
    </w:p>
    <w:p w:rsidR="001E752F" w:rsidRPr="00717CF3" w:rsidRDefault="001E752F" w:rsidP="001E752F">
      <w:pPr>
        <w:rPr>
          <w:rFonts w:ascii="Arial" w:hAnsi="Arial" w:cs="Arial"/>
          <w:sz w:val="26"/>
          <w:szCs w:val="26"/>
        </w:rPr>
      </w:pPr>
    </w:p>
    <w:p w:rsidR="001E752F" w:rsidRPr="00717CF3" w:rsidRDefault="001E752F" w:rsidP="001E752F">
      <w:pPr>
        <w:rPr>
          <w:rFonts w:ascii="Arial" w:hAnsi="Arial" w:cs="Arial"/>
          <w:sz w:val="26"/>
          <w:szCs w:val="26"/>
        </w:rPr>
      </w:pPr>
    </w:p>
    <w:p w:rsidR="001E752F" w:rsidRPr="00717CF3" w:rsidRDefault="001E752F" w:rsidP="001E752F">
      <w:pPr>
        <w:jc w:val="center"/>
        <w:rPr>
          <w:rFonts w:ascii="Arial" w:hAnsi="Arial" w:cs="Arial"/>
          <w:sz w:val="26"/>
          <w:szCs w:val="26"/>
        </w:rPr>
      </w:pPr>
      <w:r w:rsidRPr="00717CF3">
        <w:rPr>
          <w:rFonts w:ascii="Arial" w:hAnsi="Arial" w:cs="Arial"/>
          <w:sz w:val="26"/>
          <w:szCs w:val="26"/>
        </w:rPr>
        <w:t>LICENCIADA SANDRA PÉREZ CRUZ.</w:t>
      </w:r>
    </w:p>
    <w:p w:rsidR="001E752F" w:rsidRPr="00717CF3" w:rsidRDefault="001E752F" w:rsidP="001E752F">
      <w:pPr>
        <w:jc w:val="center"/>
        <w:rPr>
          <w:rFonts w:ascii="Arial" w:hAnsi="Arial" w:cs="Arial"/>
          <w:sz w:val="26"/>
          <w:szCs w:val="26"/>
        </w:rPr>
      </w:pPr>
      <w:r w:rsidRPr="00717CF3">
        <w:rPr>
          <w:rFonts w:ascii="Arial" w:hAnsi="Arial" w:cs="Arial"/>
          <w:sz w:val="26"/>
          <w:szCs w:val="26"/>
        </w:rPr>
        <w:t>SECRETARIA GENERAL DE ACUERDOS.</w:t>
      </w:r>
    </w:p>
    <w:p w:rsidR="001E752F" w:rsidRPr="00717CF3" w:rsidRDefault="001E752F" w:rsidP="001E752F">
      <w:pPr>
        <w:rPr>
          <w:sz w:val="26"/>
          <w:szCs w:val="26"/>
        </w:rPr>
      </w:pPr>
    </w:p>
    <w:p w:rsidR="001E752F" w:rsidRPr="00717CF3" w:rsidRDefault="001E752F" w:rsidP="001E752F">
      <w:pPr>
        <w:spacing w:before="240" w:line="360" w:lineRule="auto"/>
        <w:jc w:val="both"/>
        <w:rPr>
          <w:sz w:val="26"/>
          <w:szCs w:val="26"/>
        </w:rPr>
      </w:pPr>
    </w:p>
    <w:p w:rsidR="001E752F" w:rsidRPr="00A55979" w:rsidRDefault="001E752F" w:rsidP="001E752F">
      <w:pPr>
        <w:pStyle w:val="Sinespaciado"/>
        <w:spacing w:line="360" w:lineRule="auto"/>
        <w:ind w:right="49"/>
        <w:jc w:val="both"/>
        <w:rPr>
          <w:sz w:val="23"/>
          <w:szCs w:val="23"/>
        </w:rPr>
      </w:pPr>
    </w:p>
    <w:p w:rsidR="001E752F" w:rsidRPr="00BC3894" w:rsidRDefault="001E752F" w:rsidP="001E752F">
      <w:pPr>
        <w:spacing w:line="360" w:lineRule="auto"/>
        <w:jc w:val="both"/>
      </w:pPr>
    </w:p>
    <w:p w:rsidR="009B7451" w:rsidRDefault="008A59EA" w:rsidP="001E752F">
      <w:pPr>
        <w:pStyle w:val="Sinespaciado"/>
        <w:spacing w:after="120" w:line="360" w:lineRule="auto"/>
        <w:ind w:firstLine="708"/>
        <w:jc w:val="both"/>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5635714</wp:posOffset>
                </wp:positionH>
                <wp:positionV relativeFrom="paragraph">
                  <wp:posOffset>3322069</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A59EA" w:rsidRDefault="008A59EA" w:rsidP="008A59E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3.75pt;margin-top:261.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">
                <v:textbox>
                  <w:txbxContent>
                    <w:p w:rsidR="008A59EA" w:rsidRDefault="008A59EA" w:rsidP="008A59E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9B7451" w:rsidSect="001E752F">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97" w:rsidRDefault="00040897">
      <w:r>
        <w:separator/>
      </w:r>
    </w:p>
  </w:endnote>
  <w:endnote w:type="continuationSeparator" w:id="0">
    <w:p w:rsidR="00040897" w:rsidRDefault="000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97" w:rsidRDefault="00040897">
      <w:r>
        <w:separator/>
      </w:r>
    </w:p>
  </w:footnote>
  <w:footnote w:type="continuationSeparator" w:id="0">
    <w:p w:rsidR="00040897" w:rsidRDefault="00040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21A85">
        <w:pPr>
          <w:pStyle w:val="Encabezado"/>
          <w:jc w:val="center"/>
        </w:pPr>
        <w:r>
          <w:fldChar w:fldCharType="begin"/>
        </w:r>
        <w:r>
          <w:instrText>PAGE   \* MERGEFORMAT</w:instrText>
        </w:r>
        <w:r>
          <w:fldChar w:fldCharType="separate"/>
        </w:r>
        <w:r w:rsidR="00434C9D">
          <w:rPr>
            <w:noProof/>
          </w:rPr>
          <w:t>8</w:t>
        </w:r>
        <w:r>
          <w:fldChar w:fldCharType="end"/>
        </w:r>
      </w:p>
    </w:sdtContent>
  </w:sdt>
  <w:p w:rsidR="002A6EF0" w:rsidRDefault="00434C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8A59EA" w:rsidP="007D05DF">
        <w:pPr>
          <w:pStyle w:val="Encabezado"/>
          <w:jc w:val="center"/>
          <w:rPr>
            <w:noProof/>
          </w:rPr>
        </w:pPr>
        <w:r>
          <w:rPr>
            <w:noProof/>
            <w:lang w:val="es-MX" w:eastAsia="es-MX"/>
          </w:rPr>
          <mc:AlternateContent>
            <mc:Choice Requires="wps">
              <w:drawing>
                <wp:anchor distT="0" distB="0" distL="114300" distR="114300" simplePos="0" relativeHeight="251662336" behindDoc="0" locked="0" layoutInCell="1" allowOverlap="1" wp14:anchorId="70B5CDB8" wp14:editId="09A1ECCE">
                  <wp:simplePos x="0" y="0"/>
                  <wp:positionH relativeFrom="column">
                    <wp:posOffset>-1590040</wp:posOffset>
                  </wp:positionH>
                  <wp:positionV relativeFrom="paragraph">
                    <wp:posOffset>7800975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A59EA" w:rsidRDefault="008A59EA" w:rsidP="008A59E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25.2pt;margin-top:614.2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IP+CP3jAAAADgEAAA8AAAAAAAAAAAAAAAAA&#10;hQQAAGRycy9kb3ducmV2LnhtbFBLBQYAAAAABAAEAPMAAACVBQAAAAA=&#10;">
                  <v:textbox>
                    <w:txbxContent>
                      <w:p w:rsidR="008A59EA" w:rsidRDefault="008A59EA" w:rsidP="008A59EA">
                        <w:pPr>
                          <w:rPr>
                            <w:sz w:val="16"/>
                            <w:szCs w:val="16"/>
                          </w:rPr>
                        </w:pPr>
                        <w:r>
                          <w:rPr>
                            <w:sz w:val="16"/>
                            <w:szCs w:val="16"/>
                          </w:rPr>
                          <w:t>Datos personales protegidos por el Art. 116 de la LGTAIP y el Art. 56 de la LTAIPEO</w:t>
                        </w:r>
                      </w:p>
                    </w:txbxContent>
                  </v:textbox>
                </v:shape>
              </w:pict>
            </mc:Fallback>
          </mc:AlternateContent>
        </w:r>
        <w:r w:rsidR="00821A85">
          <w:fldChar w:fldCharType="begin"/>
        </w:r>
        <w:r w:rsidR="00821A85">
          <w:instrText xml:space="preserve"> PAGE   \* MERGEFORMAT </w:instrText>
        </w:r>
        <w:r w:rsidR="00821A85">
          <w:fldChar w:fldCharType="separate"/>
        </w:r>
        <w:r w:rsidR="00434C9D">
          <w:rPr>
            <w:noProof/>
          </w:rPr>
          <w:t>1</w:t>
        </w:r>
        <w:r w:rsidR="00821A85">
          <w:rPr>
            <w:noProof/>
          </w:rPr>
          <w:fldChar w:fldCharType="end"/>
        </w:r>
      </w:p>
    </w:sdtContent>
  </w:sdt>
  <w:p w:rsidR="00655BA3" w:rsidRDefault="00434C9D"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AA"/>
    <w:rsid w:val="00032441"/>
    <w:rsid w:val="00040897"/>
    <w:rsid w:val="00041A27"/>
    <w:rsid w:val="00045DC9"/>
    <w:rsid w:val="00064D73"/>
    <w:rsid w:val="000844D3"/>
    <w:rsid w:val="00097EEF"/>
    <w:rsid w:val="000A2302"/>
    <w:rsid w:val="000B3F24"/>
    <w:rsid w:val="001127F4"/>
    <w:rsid w:val="001166CE"/>
    <w:rsid w:val="00141DF6"/>
    <w:rsid w:val="0016495A"/>
    <w:rsid w:val="001A35E8"/>
    <w:rsid w:val="001D4631"/>
    <w:rsid w:val="001E752F"/>
    <w:rsid w:val="00204F30"/>
    <w:rsid w:val="002460EB"/>
    <w:rsid w:val="00277787"/>
    <w:rsid w:val="002B03B9"/>
    <w:rsid w:val="002D742A"/>
    <w:rsid w:val="003537BD"/>
    <w:rsid w:val="00373B69"/>
    <w:rsid w:val="00391E86"/>
    <w:rsid w:val="003A47E9"/>
    <w:rsid w:val="003C081C"/>
    <w:rsid w:val="003C615F"/>
    <w:rsid w:val="003F7992"/>
    <w:rsid w:val="00414381"/>
    <w:rsid w:val="00415D10"/>
    <w:rsid w:val="00434C9D"/>
    <w:rsid w:val="0049782E"/>
    <w:rsid w:val="005A5BD9"/>
    <w:rsid w:val="005E7D47"/>
    <w:rsid w:val="00641B6C"/>
    <w:rsid w:val="006519CC"/>
    <w:rsid w:val="0067262E"/>
    <w:rsid w:val="00672749"/>
    <w:rsid w:val="006834D3"/>
    <w:rsid w:val="006B72AD"/>
    <w:rsid w:val="006C2816"/>
    <w:rsid w:val="006C6AAA"/>
    <w:rsid w:val="006D6160"/>
    <w:rsid w:val="006E1068"/>
    <w:rsid w:val="0070070D"/>
    <w:rsid w:val="0074276B"/>
    <w:rsid w:val="007A0C56"/>
    <w:rsid w:val="007B5212"/>
    <w:rsid w:val="007C0D3B"/>
    <w:rsid w:val="007D1B39"/>
    <w:rsid w:val="007E34B9"/>
    <w:rsid w:val="00821A85"/>
    <w:rsid w:val="008548BD"/>
    <w:rsid w:val="00866CC6"/>
    <w:rsid w:val="00874334"/>
    <w:rsid w:val="00887D10"/>
    <w:rsid w:val="008954C8"/>
    <w:rsid w:val="008A59EA"/>
    <w:rsid w:val="008A6F28"/>
    <w:rsid w:val="008C4271"/>
    <w:rsid w:val="008E2E6D"/>
    <w:rsid w:val="00962A94"/>
    <w:rsid w:val="00974512"/>
    <w:rsid w:val="009806E4"/>
    <w:rsid w:val="009A7AEE"/>
    <w:rsid w:val="009B7451"/>
    <w:rsid w:val="009F3BB6"/>
    <w:rsid w:val="00A568A3"/>
    <w:rsid w:val="00A65D8C"/>
    <w:rsid w:val="00A71408"/>
    <w:rsid w:val="00B11E5D"/>
    <w:rsid w:val="00B1506B"/>
    <w:rsid w:val="00B24DB1"/>
    <w:rsid w:val="00B6506E"/>
    <w:rsid w:val="00B87F2A"/>
    <w:rsid w:val="00BA5965"/>
    <w:rsid w:val="00BD5E95"/>
    <w:rsid w:val="00BF37C3"/>
    <w:rsid w:val="00C211C8"/>
    <w:rsid w:val="00C45284"/>
    <w:rsid w:val="00C92D1B"/>
    <w:rsid w:val="00D0417F"/>
    <w:rsid w:val="00D629AA"/>
    <w:rsid w:val="00D716BE"/>
    <w:rsid w:val="00DE1B5F"/>
    <w:rsid w:val="00DF5F6B"/>
    <w:rsid w:val="00E83A8D"/>
    <w:rsid w:val="00EA3B91"/>
    <w:rsid w:val="00EB5D94"/>
    <w:rsid w:val="00EB6404"/>
    <w:rsid w:val="00EC27F5"/>
    <w:rsid w:val="00ED458F"/>
    <w:rsid w:val="00EE0A0A"/>
    <w:rsid w:val="00F163D6"/>
    <w:rsid w:val="00F24E8C"/>
    <w:rsid w:val="00F2780A"/>
    <w:rsid w:val="00F7247E"/>
    <w:rsid w:val="00F726B1"/>
    <w:rsid w:val="00FA5633"/>
    <w:rsid w:val="00FE2A75"/>
    <w:rsid w:val="00FE6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A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29AA"/>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629AA"/>
    <w:rPr>
      <w:rFonts w:ascii="Times New Roman" w:eastAsia="PMingLiU" w:hAnsi="Times New Roman" w:cs="Times New Roman"/>
      <w:sz w:val="24"/>
      <w:szCs w:val="24"/>
      <w:lang w:val="es-ES" w:eastAsia="zh-TW"/>
    </w:rPr>
  </w:style>
  <w:style w:type="paragraph" w:styleId="Sinespaciado">
    <w:name w:val="No Spacing"/>
    <w:uiPriority w:val="1"/>
    <w:qFormat/>
    <w:rsid w:val="00D629AA"/>
    <w:pPr>
      <w:spacing w:after="0" w:line="240" w:lineRule="auto"/>
    </w:pPr>
    <w:rPr>
      <w:lang w:val="es-ES"/>
    </w:rPr>
  </w:style>
  <w:style w:type="paragraph" w:styleId="Piedepgina">
    <w:name w:val="footer"/>
    <w:basedOn w:val="Normal"/>
    <w:link w:val="PiedepginaCar"/>
    <w:uiPriority w:val="99"/>
    <w:unhideWhenUsed/>
    <w:rsid w:val="001E752F"/>
    <w:pPr>
      <w:tabs>
        <w:tab w:val="center" w:pos="4419"/>
        <w:tab w:val="right" w:pos="8838"/>
      </w:tabs>
    </w:pPr>
  </w:style>
  <w:style w:type="character" w:customStyle="1" w:styleId="PiedepginaCar">
    <w:name w:val="Pie de página Car"/>
    <w:basedOn w:val="Fuentedeprrafopredeter"/>
    <w:link w:val="Piedepgina"/>
    <w:uiPriority w:val="99"/>
    <w:rsid w:val="001E7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A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29AA"/>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629AA"/>
    <w:rPr>
      <w:rFonts w:ascii="Times New Roman" w:eastAsia="PMingLiU" w:hAnsi="Times New Roman" w:cs="Times New Roman"/>
      <w:sz w:val="24"/>
      <w:szCs w:val="24"/>
      <w:lang w:val="es-ES" w:eastAsia="zh-TW"/>
    </w:rPr>
  </w:style>
  <w:style w:type="paragraph" w:styleId="Sinespaciado">
    <w:name w:val="No Spacing"/>
    <w:uiPriority w:val="1"/>
    <w:qFormat/>
    <w:rsid w:val="00D629AA"/>
    <w:pPr>
      <w:spacing w:after="0" w:line="240" w:lineRule="auto"/>
    </w:pPr>
    <w:rPr>
      <w:lang w:val="es-ES"/>
    </w:rPr>
  </w:style>
  <w:style w:type="paragraph" w:styleId="Piedepgina">
    <w:name w:val="footer"/>
    <w:basedOn w:val="Normal"/>
    <w:link w:val="PiedepginaCar"/>
    <w:uiPriority w:val="99"/>
    <w:unhideWhenUsed/>
    <w:rsid w:val="001E752F"/>
    <w:pPr>
      <w:tabs>
        <w:tab w:val="center" w:pos="4419"/>
        <w:tab w:val="right" w:pos="8838"/>
      </w:tabs>
    </w:pPr>
  </w:style>
  <w:style w:type="character" w:customStyle="1" w:styleId="PiedepginaCar">
    <w:name w:val="Pie de página Car"/>
    <w:basedOn w:val="Fuentedeprrafopredeter"/>
    <w:link w:val="Piedepgina"/>
    <w:uiPriority w:val="99"/>
    <w:rsid w:val="001E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2255</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47</cp:revision>
  <cp:lastPrinted>2018-12-12T18:40:00Z</cp:lastPrinted>
  <dcterms:created xsi:type="dcterms:W3CDTF">2018-09-25T17:50:00Z</dcterms:created>
  <dcterms:modified xsi:type="dcterms:W3CDTF">2018-12-12T18:41:00Z</dcterms:modified>
</cp:coreProperties>
</file>