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0A8" w:rsidRDefault="000230A8" w:rsidP="000230A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0230A8" w:rsidRDefault="000230A8" w:rsidP="000230A8">
      <w:pPr>
        <w:spacing w:line="360" w:lineRule="auto"/>
        <w:jc w:val="both"/>
        <w:rPr>
          <w:rFonts w:ascii="Arial" w:hAnsi="Arial" w:cs="Arial"/>
          <w:b/>
          <w:sz w:val="24"/>
          <w:szCs w:val="24"/>
        </w:rPr>
      </w:pPr>
      <w:r>
        <w:rPr>
          <w:rFonts w:ascii="Arial" w:hAnsi="Arial" w:cs="Arial"/>
          <w:b/>
          <w:sz w:val="24"/>
          <w:szCs w:val="24"/>
        </w:rPr>
        <w:t xml:space="preserve">OAXACA DE JUÁREZ, OAXACA; A DIEZ DE ABRIL DEL AÑO DOS MIL DIECIOCHO (10/04/2018). - - - - - - - - - - - - - - - - - - - - - - - - - - - - - - - - - - - - </w:t>
      </w:r>
    </w:p>
    <w:p w:rsidR="000230A8" w:rsidRDefault="000230A8" w:rsidP="000230A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0138/2017, promovido por el C. </w:t>
      </w:r>
      <w:r w:rsidR="00F10BB8">
        <w:rPr>
          <w:rFonts w:ascii="Arial" w:hAnsi="Arial" w:cs="Arial"/>
          <w:sz w:val="24"/>
          <w:szCs w:val="24"/>
        </w:rPr>
        <w:t>***** ***** ***** *****</w:t>
      </w:r>
      <w:r>
        <w:rPr>
          <w:rFonts w:ascii="Arial" w:hAnsi="Arial" w:cs="Arial"/>
          <w:sz w:val="24"/>
          <w:szCs w:val="24"/>
        </w:rPr>
        <w:t xml:space="preserve">, solicitando la nulidad de la resolución contenida en el oficio número OP/DG/DPE/2240/2017, de fecha dieciocho de septiembre de dos mil diecisiete (18/09/2017), emitida por el Director General de la Oficina de Pensiones del Estado de Oaxaca; y, - - - - - </w:t>
      </w:r>
      <w:r w:rsidR="00F10BB8">
        <w:rPr>
          <w:rFonts w:ascii="Arial" w:hAnsi="Arial" w:cs="Arial"/>
          <w:sz w:val="24"/>
          <w:szCs w:val="24"/>
        </w:rPr>
        <w:t xml:space="preserve">- - - - - - - - - - - - - - - - - - - - - - </w:t>
      </w:r>
    </w:p>
    <w:p w:rsidR="000230A8" w:rsidRDefault="000230A8" w:rsidP="000230A8">
      <w:pPr>
        <w:spacing w:line="360" w:lineRule="auto"/>
        <w:jc w:val="center"/>
        <w:rPr>
          <w:rFonts w:ascii="Arial" w:hAnsi="Arial" w:cs="Arial"/>
          <w:b/>
          <w:sz w:val="24"/>
          <w:szCs w:val="24"/>
        </w:rPr>
      </w:pPr>
      <w:r>
        <w:rPr>
          <w:rFonts w:ascii="Arial" w:hAnsi="Arial" w:cs="Arial"/>
          <w:b/>
          <w:sz w:val="24"/>
          <w:szCs w:val="24"/>
        </w:rPr>
        <w:t>R E S U L T A N D O</w:t>
      </w:r>
    </w:p>
    <w:p w:rsidR="000230A8" w:rsidRDefault="000230A8" w:rsidP="000230A8">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Con fecha trece de noviembre de dos mil diecisiete (13/11/2017), se recibió el escrito de demanda en la Oficialía de Partes de este Tribunal y con fecha catorce del mismo mes y año (14/11/2017), se tuvo por admitida a trámite, ordenándose emplazar a Juicio a la autoridad demandada. - - - - - - - - - - - - - - - - - - - - - - - - - - - - - - - - - - - - - - - - - - - - - - -</w:t>
      </w:r>
    </w:p>
    <w:p w:rsidR="000230A8" w:rsidRDefault="000230A8" w:rsidP="000230A8">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C</w:t>
      </w:r>
      <w:r w:rsidRPr="0006170D">
        <w:rPr>
          <w:rFonts w:ascii="Arial" w:hAnsi="Arial" w:cs="Arial"/>
          <w:sz w:val="24"/>
          <w:szCs w:val="24"/>
        </w:rPr>
        <w:t>on fecha</w:t>
      </w:r>
      <w:r>
        <w:rPr>
          <w:rFonts w:ascii="Arial" w:hAnsi="Arial" w:cs="Arial"/>
          <w:sz w:val="24"/>
          <w:szCs w:val="24"/>
        </w:rPr>
        <w:t xml:space="preserve"> veintidós de enero de dos mil dieciocho (22/01/2018) se tuvo al C.P. JESÚS PARADA </w:t>
      </w:r>
      <w:proofErr w:type="spellStart"/>
      <w:r>
        <w:rPr>
          <w:rFonts w:ascii="Arial" w:hAnsi="Arial" w:cs="Arial"/>
          <w:sz w:val="24"/>
          <w:szCs w:val="24"/>
        </w:rPr>
        <w:t>PARADA</w:t>
      </w:r>
      <w:proofErr w:type="spellEnd"/>
      <w:r>
        <w:rPr>
          <w:rFonts w:ascii="Arial" w:hAnsi="Arial" w:cs="Arial"/>
          <w:sz w:val="24"/>
          <w:szCs w:val="24"/>
        </w:rPr>
        <w:t>,</w:t>
      </w:r>
      <w:r w:rsidRPr="00DD2B30">
        <w:rPr>
          <w:rFonts w:ascii="Arial" w:hAnsi="Arial" w:cs="Arial"/>
          <w:sz w:val="24"/>
          <w:szCs w:val="24"/>
        </w:rPr>
        <w:t xml:space="preserve"> </w:t>
      </w:r>
      <w:r>
        <w:rPr>
          <w:rFonts w:ascii="Arial" w:hAnsi="Arial" w:cs="Arial"/>
          <w:sz w:val="24"/>
          <w:szCs w:val="24"/>
        </w:rPr>
        <w:t xml:space="preserve">Director General de la Oficina de Pensiones del Estado de Oaxaca, contestando en tiempo la demanda; además, se señaló fecha y hora para la celebración de la Audiencia Final. - - - - - - - - - - - - - - - - - - - - - - - - - - - - - - - - - - - - - - - - - - - - </w:t>
      </w:r>
    </w:p>
    <w:p w:rsidR="000230A8" w:rsidRDefault="000230A8" w:rsidP="000230A8">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quince de marzo de dos mil dieciocho (15/03/2018),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 únicamente de la parte actora, quedando el asunto integrado y en estado de resolución; y, - - -</w:t>
      </w:r>
    </w:p>
    <w:p w:rsidR="000230A8" w:rsidRDefault="000230A8" w:rsidP="000230A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 xml:space="preserve">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 - - - </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230A8" w:rsidRDefault="000230A8" w:rsidP="000230A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F10BB8">
        <w:rPr>
          <w:rFonts w:ascii="Arial" w:hAnsi="Arial" w:cs="Arial"/>
          <w:sz w:val="24"/>
          <w:szCs w:val="24"/>
        </w:rPr>
        <w:t>***** ***** ***** *****</w:t>
      </w:r>
      <w:r>
        <w:rPr>
          <w:rFonts w:ascii="Arial" w:hAnsi="Arial" w:cs="Arial"/>
          <w:sz w:val="24"/>
          <w:szCs w:val="24"/>
        </w:rPr>
        <w:t xml:space="preserve">, consistentes </w:t>
      </w:r>
      <w:r w:rsidRPr="00AE6334">
        <w:rPr>
          <w:rFonts w:ascii="Arial" w:hAnsi="Arial" w:cs="Arial"/>
          <w:sz w:val="24"/>
          <w:szCs w:val="24"/>
        </w:rPr>
        <w:t xml:space="preserve">en: </w:t>
      </w:r>
      <w:r w:rsidRPr="00530A46">
        <w:rPr>
          <w:rFonts w:ascii="Arial" w:hAnsi="Arial" w:cs="Arial"/>
          <w:b/>
        </w:rPr>
        <w:t>1.-</w:t>
      </w:r>
      <w:r>
        <w:rPr>
          <w:rFonts w:ascii="Arial" w:hAnsi="Arial" w:cs="Arial"/>
        </w:rPr>
        <w:t xml:space="preserve"> </w:t>
      </w:r>
      <w:r w:rsidRPr="00C61322">
        <w:rPr>
          <w:rFonts w:ascii="Arial" w:hAnsi="Arial" w:cs="Arial"/>
          <w:sz w:val="24"/>
          <w:szCs w:val="24"/>
        </w:rPr>
        <w:t>Copia simple de escrito que contiene un sello de recibido</w:t>
      </w:r>
      <w:r>
        <w:rPr>
          <w:rFonts w:ascii="Arial" w:hAnsi="Arial" w:cs="Arial"/>
          <w:sz w:val="24"/>
          <w:szCs w:val="24"/>
        </w:rPr>
        <w:t xml:space="preserve"> de fecha quince de septiembre de dos mil diecisiete (15/09/2017),</w:t>
      </w:r>
      <w:r w:rsidRPr="00C61322">
        <w:rPr>
          <w:rFonts w:ascii="Arial" w:hAnsi="Arial" w:cs="Arial"/>
          <w:sz w:val="24"/>
          <w:szCs w:val="24"/>
        </w:rPr>
        <w:t xml:space="preserve"> por la Dirección Gener</w:t>
      </w:r>
      <w:r>
        <w:rPr>
          <w:rFonts w:ascii="Arial" w:hAnsi="Arial" w:cs="Arial"/>
          <w:sz w:val="24"/>
          <w:szCs w:val="24"/>
        </w:rPr>
        <w:t>al de la Oficina de Pensiones, mediante el cual el actor solicitó la devolución de las aportaciones que efectuó al fondo de pensiones; 2.-Original de Constancia de contribución al Fondo de Pensiones número C871/17, expedida a favor del actor por el Director General de la Oficina de Pensiones; 3.- Original de oficio OP/DG/DPE/2240/2017, a través del cual el Director General de la Oficina de Pensiones, negó la devolución de aportaciones al Fondo de Pensiones solicitado por el actor (acto impugnado).</w:t>
      </w:r>
    </w:p>
    <w:p w:rsidR="000230A8" w:rsidRDefault="000230A8" w:rsidP="000230A8">
      <w:pPr>
        <w:spacing w:line="360" w:lineRule="auto"/>
        <w:ind w:firstLine="708"/>
        <w:jc w:val="both"/>
        <w:rPr>
          <w:rFonts w:ascii="Arial" w:hAnsi="Arial" w:cs="Arial"/>
          <w:sz w:val="24"/>
          <w:szCs w:val="24"/>
        </w:rPr>
      </w:pPr>
      <w:r>
        <w:rPr>
          <w:rFonts w:ascii="Arial" w:hAnsi="Arial" w:cs="Arial"/>
          <w:sz w:val="24"/>
          <w:szCs w:val="24"/>
        </w:rPr>
        <w:t xml:space="preserve">A la demandada Director General de la Oficina de Pensiones del Estado de Oaxaca, se admitieron las DOCUMENTALES siguientes: 1.- Copias certificadas de nombramiento y toma de protesta de ley expedidos a favor del C.P JESÚS PARADA </w:t>
      </w:r>
      <w:proofErr w:type="spellStart"/>
      <w:r>
        <w:rPr>
          <w:rFonts w:ascii="Arial" w:hAnsi="Arial" w:cs="Arial"/>
          <w:sz w:val="24"/>
          <w:szCs w:val="24"/>
        </w:rPr>
        <w:t>PARADA</w:t>
      </w:r>
      <w:proofErr w:type="spellEnd"/>
      <w:r>
        <w:rPr>
          <w:rFonts w:ascii="Arial" w:hAnsi="Arial" w:cs="Arial"/>
          <w:sz w:val="24"/>
          <w:szCs w:val="24"/>
        </w:rPr>
        <w:t>, como Director General de la Oficina de Pensiones, por el Gobernador Constitucional del Estado de Oaxaca; 2.- Copia certificada del oficio OP/DG/DPE/2240/2017, a través del cual el Director General de la Oficina de Pensiones, negó la devolución de aportaciones al Fondo de Pensiones solicitado por el actor (acto impugnado).</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Los documentos originales y copias certificadas por Notario Público y Jefe del Departamento Jurídico de la Oficina de Pensiones, tienen </w:t>
      </w:r>
      <w:r w:rsidRPr="003D002F">
        <w:rPr>
          <w:rFonts w:ascii="Arial" w:hAnsi="Arial" w:cs="Arial"/>
          <w:b/>
          <w:sz w:val="24"/>
          <w:szCs w:val="24"/>
        </w:rPr>
        <w:t xml:space="preserve">valor </w:t>
      </w:r>
      <w:r w:rsidRPr="003D002F">
        <w:rPr>
          <w:rFonts w:ascii="Arial" w:hAnsi="Arial" w:cs="Arial"/>
          <w:b/>
          <w:sz w:val="24"/>
          <w:szCs w:val="24"/>
        </w:rPr>
        <w:lastRenderedPageBreak/>
        <w:t>probatorio pleno</w:t>
      </w:r>
      <w:r>
        <w:rPr>
          <w:rFonts w:ascii="Arial" w:hAnsi="Arial" w:cs="Arial"/>
          <w:sz w:val="24"/>
          <w:szCs w:val="24"/>
        </w:rPr>
        <w:t>, porque en ellos aparecen los nombres de los servidores públicos que los emitieron, además del nombre, firma y sello de la dependencia a la que pertenecen, y porque las certificadas fueron expedidas por autoridades con plenas facultades para ello, como son el Notario Público Número Noventa en el Estado y Licenciado EDUARDO CUAUHTÉMOC CASTILLO GONZALEZ, el primero actuando de conformidad con lo dispuesto en el artículo 2 y el numeral 87, ambos de la Ley del Notariado para el Estado de Oaxaca, y el segundo de conformidad con los artículos 7 fracción X del Reglamento Interno de la Oficina de Pensiones, de ahí la convicción sobre su existencia y la veracidad de su contenido,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0230A8" w:rsidRDefault="000230A8" w:rsidP="000230A8">
      <w:pPr>
        <w:spacing w:line="360" w:lineRule="auto"/>
        <w:ind w:firstLine="708"/>
        <w:jc w:val="both"/>
        <w:rPr>
          <w:rFonts w:ascii="Arial" w:hAnsi="Arial" w:cs="Arial"/>
          <w:sz w:val="24"/>
          <w:szCs w:val="24"/>
        </w:rPr>
      </w:pPr>
      <w:r>
        <w:rPr>
          <w:rFonts w:ascii="Arial" w:hAnsi="Arial" w:cs="Arial"/>
          <w:sz w:val="24"/>
          <w:szCs w:val="24"/>
        </w:rPr>
        <w:t xml:space="preserve">Por lo que respecta al documento remitido en copia simple por el actor, se le otorga </w:t>
      </w:r>
      <w:r w:rsidRPr="003D002F">
        <w:rPr>
          <w:rFonts w:ascii="Arial" w:hAnsi="Arial" w:cs="Arial"/>
          <w:b/>
          <w:sz w:val="24"/>
          <w:szCs w:val="24"/>
        </w:rPr>
        <w:t>valor indiciario</w:t>
      </w:r>
      <w:r>
        <w:rPr>
          <w:rFonts w:ascii="Arial" w:hAnsi="Arial" w:cs="Arial"/>
          <w:sz w:val="24"/>
          <w:szCs w:val="24"/>
        </w:rPr>
        <w:t>, porque no se encuentra aislado, por el contrario concatenado con los documentos originales remitidos también por el actor y la demandada, toda vez que la resolución impugnada tuvo como premisa la petición remitida aquí en copia simple, a la cual dio respuesta la demandada, de ahí el valor probatorio otorgado, sirve de apoyo a lo anterior la jurisprudencia sustentada por la Suprema Corte de Justicia de la Nación, con datos de identificación:</w:t>
      </w:r>
      <w:r w:rsidRPr="00625765">
        <w:rPr>
          <w:rFonts w:ascii="Arial" w:hAnsi="Arial" w:cs="Arial"/>
          <w:sz w:val="24"/>
          <w:szCs w:val="24"/>
        </w:rPr>
        <w:t xml:space="preserve"> </w:t>
      </w:r>
      <w:r>
        <w:rPr>
          <w:rFonts w:ascii="Arial" w:hAnsi="Arial" w:cs="Arial"/>
          <w:sz w:val="24"/>
          <w:szCs w:val="24"/>
        </w:rPr>
        <w:t>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w:t>
      </w:r>
      <w:r w:rsidRPr="00FC32DC">
        <w:rPr>
          <w:rFonts w:ascii="Arial" w:hAnsi="Arial" w:cs="Arial"/>
          <w:sz w:val="24"/>
          <w:szCs w:val="24"/>
        </w:rPr>
        <w:lastRenderedPageBreak/>
        <w:t>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230A8" w:rsidRDefault="000230A8" w:rsidP="000230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se constituye de la totalidad de las pruebas recabadas en el presente Juicio, y con ellas se confirma el contenido del enjuiciamiento, porque los hechos contenidos en las documentales son afirmaciones expresadas por ellas.</w:t>
      </w:r>
    </w:p>
    <w:p w:rsidR="000230A8" w:rsidRDefault="000230A8" w:rsidP="000230A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w:t>
      </w:r>
      <w:r w:rsidR="00F55862">
        <w:rPr>
          <w:rFonts w:ascii="Arial" w:hAnsi="Arial" w:cs="Arial"/>
          <w:sz w:val="24"/>
          <w:szCs w:val="24"/>
        </w:rPr>
        <w:t>que,</w:t>
      </w:r>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 - - </w:t>
      </w:r>
    </w:p>
    <w:p w:rsidR="000230A8" w:rsidRDefault="000230A8" w:rsidP="000230A8">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 -</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C. </w:t>
      </w:r>
      <w:r w:rsidR="00F10BB8">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no obstante que la demandada dio respuesta a su petición, ésta no le favoreció, de ahí la afectación a su esfera jurídica, viéndose en la necesidad de instaurar el presente Juicio en defensa de sus derechos que refiere violentados, con lo que sin duda quedó justificada su personalidad jurídica y legítima en el presente Juicio.</w:t>
      </w:r>
    </w:p>
    <w:p w:rsidR="000230A8" w:rsidRPr="00104EF9" w:rsidRDefault="000230A8" w:rsidP="000230A8">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Director </w:t>
      </w:r>
      <w:r>
        <w:rPr>
          <w:rFonts w:ascii="Arial" w:hAnsi="Arial" w:cs="Arial"/>
          <w:sz w:val="24"/>
        </w:rPr>
        <w:t xml:space="preserve">General </w:t>
      </w:r>
      <w:r w:rsidRPr="00104EF9">
        <w:rPr>
          <w:rFonts w:ascii="Arial" w:hAnsi="Arial" w:cs="Arial"/>
          <w:sz w:val="24"/>
        </w:rPr>
        <w:t xml:space="preserve">de la Oficina de Pensiones, se tiene por acreditada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sidR="00F55862">
        <w:rPr>
          <w:rFonts w:ascii="Arial" w:hAnsi="Arial" w:cs="Arial"/>
          <w:sz w:val="24"/>
        </w:rPr>
        <w:t xml:space="preserve"> </w:t>
      </w:r>
      <w:r w:rsidRPr="00104EF9">
        <w:rPr>
          <w:rFonts w:ascii="Arial" w:hAnsi="Arial" w:cs="Arial"/>
          <w:sz w:val="24"/>
        </w:rPr>
        <w:t xml:space="preserve">- </w:t>
      </w:r>
    </w:p>
    <w:p w:rsidR="000230A8" w:rsidRDefault="000230A8" w:rsidP="000230A8">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161 y 162, de la Ley de Procedimiento y Justicia Administrativa para el Estado de Oaxaca. </w:t>
      </w:r>
    </w:p>
    <w:p w:rsidR="000230A8" w:rsidRDefault="000230A8" w:rsidP="000230A8">
      <w:pPr>
        <w:pStyle w:val="corte4fondoCarCarCar"/>
        <w:spacing w:before="240"/>
        <w:ind w:firstLine="708"/>
        <w:rPr>
          <w:rFonts w:cs="Arial"/>
          <w:bCs/>
          <w:sz w:val="24"/>
        </w:rPr>
      </w:pPr>
      <w:r>
        <w:rPr>
          <w:rFonts w:cs="Arial"/>
          <w:bCs/>
          <w:sz w:val="24"/>
        </w:rPr>
        <w:t>Si bien es cierto la autoridad demandada hizo valer las excepciones de FALTA DE ACCIÓN Y DERECHO y la consistente en FALSEDAD DE LOS HECHOS, lo cierto es que ninguna de ellas se encuentra sostenida con argumento o prueba, por lo que esta Juzgadora las considera no actualizadas, pues la Ley que regula este procedimiento no establece la suplencia para las autoridades demandadas y no advirtiéndose la actualización de alguna otra causa que impida conocer y estudiar de fondo este asunto, este Juicio de Nulidad NO SE SOBRESEE.</w:t>
      </w:r>
      <w:r w:rsidR="00F55862">
        <w:rPr>
          <w:rFonts w:cs="Arial"/>
          <w:bCs/>
          <w:sz w:val="24"/>
        </w:rPr>
        <w:t xml:space="preserve"> </w:t>
      </w:r>
      <w:r>
        <w:rPr>
          <w:rFonts w:cs="Arial"/>
          <w:bCs/>
          <w:sz w:val="24"/>
        </w:rPr>
        <w:t xml:space="preserve">- - - - - - - - - - - - - - - </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 xml:space="preserve">toma en cuenta los argumentos y pruebas ofrecidas por las partes, con los que arriba a la conclusión de que son </w:t>
      </w:r>
      <w:r w:rsidRPr="00E210A4">
        <w:rPr>
          <w:rFonts w:ascii="Arial" w:hAnsi="Arial" w:cs="Arial"/>
          <w:b/>
          <w:sz w:val="24"/>
          <w:szCs w:val="24"/>
        </w:rPr>
        <w:t>fundados los agravios</w:t>
      </w:r>
      <w:r>
        <w:rPr>
          <w:rFonts w:ascii="Arial" w:hAnsi="Arial" w:cs="Arial"/>
          <w:sz w:val="24"/>
          <w:szCs w:val="24"/>
        </w:rPr>
        <w:t xml:space="preserve"> expuestos por el actor.</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efecto, no le asiste la razón a la autoridad demandada en la resolución combatida, al sostener que no existe en la Ley de Pensiones para los Trabajadores del Gobierno del Estado de Oaxaca, un precepto legal que establezca el derecho de un trabajador de confianza, para obtener la devolución  de las aportaciones que efectuó al Fondo de Pensiones, al terminar su relación laboral con el Gobierno del Estado, cuando no cumpla con los requisitos de antigüedad para la obtención de una pensión, por considerar que ese derecho únicamente se encuentra previsto para los trabajadores de base, de acuerdo a lo establecido en el artículo 64 de dicho ordenamiento legal, pues la demandada dejó de observar que aun cuando esa disposición no se encuentra plasmada expresamente en reglamentación legislativa, existen disposiciones constitucionales que forman técnicas sustitutivas para brindar respuesta eficaz a la petición del hoy actor, pues es de destacarse que las aportaciones reclamadas formaban parte del salario del actor, y que su deducción se establece con el ánimo de protección y nunca de causarle un perjuicio, luego entonces, resulta aplicable al caso el </w:t>
      </w:r>
      <w:r>
        <w:rPr>
          <w:rFonts w:ascii="Arial" w:hAnsi="Arial" w:cs="Arial"/>
          <w:sz w:val="24"/>
          <w:szCs w:val="24"/>
        </w:rPr>
        <w:lastRenderedPageBreak/>
        <w:t xml:space="preserve">principio general de derecho que reza: “ lo que no está prohibido está permitido”, esta hipótesis se colma porque, como acertadamente lo refirió la demandada, en la ley de pensiones en vigor, existe el derecho de los trabajadores de base, para obtener la devolución de sus aportaciones al fondo de pensiones, cuando aún no cumplan con la antigüedad requerida para la obtención de una pensión (artículo 64 de dicho ordenamiento legal), sin embargo, ni en dicho artículo, ni en ningún otro de esa Normatividad, existe la prohibición, impedimento o veto, para que los trabajadores de confianza obtengan dicha devolución, consecuentemente, </w:t>
      </w:r>
      <w:r>
        <w:rPr>
          <w:rFonts w:ascii="Arial" w:hAnsi="Arial" w:cs="Arial"/>
          <w:b/>
          <w:sz w:val="24"/>
          <w:szCs w:val="24"/>
        </w:rPr>
        <w:t>existe un vacío legislativo</w:t>
      </w:r>
      <w:r>
        <w:rPr>
          <w:rFonts w:ascii="Arial" w:hAnsi="Arial" w:cs="Arial"/>
          <w:sz w:val="24"/>
          <w:szCs w:val="24"/>
        </w:rPr>
        <w:t>, y en ese supuesto, resultaba procedente la aplicación del Principio General expuesto, ante la imposibilidad de aplicar una ley análoga o supletoria, por lo que las autoridades demandadas, en aplicación de los principios generales de derecho, deben procurar la protección más amplia de los derechos humanos del gobernado, protección a la que toda autoridad se encuentra sujeta, como lo prevé el segundo párrafo del artículo 1 de la Constitución Política de los Estados Unidos Mexicanos, luego entonces, las demandadas se encontraban constreñidas a privilegiar el derecho a la seguridad social del actor, y desde luego enterar la cantidad solicitada.</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 mayor abundamiento, la Suprema Corte de Justicia de la Nación, ha considerado que si bien es cierto el artículo 123 apartado B de la Constitución Política de los Estados Unidos Mexicanos, clasifica a los trabajadores en dos sectores, base y confianza, y que están limitados los derechos de éstos últimos, como el relativo a la estabilidad e inamovilidad del empleo; sin embargo, tales limitaciones, son de carácter excepcional, pues los trabajadores de confianza tienen reconocidos sus derechos laborales en la fracción XIV, del citado artículo 123 apartado B, dentro de ellos, a la seguridad social, circunstancias que también dejaron de ser observadas por la autoridad demandada, pues como ya se dijo, la suma reclamada formaba parte del salario.</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Sirve de apoyo a lo anterior la Jurisprudencia sustentada por la Suprema Corte de Justicia de la Nación, con datos de identificación: Tomo I, Constitucional 3. Derechos Fundamentales, Primera Parte-SCJN, Vigésima Segunda, Sección- Derechos laborales, Novena Época, pág. 2169, registro 1012200, Segunda Sala, y de rubro: “</w:t>
      </w:r>
      <w:r w:rsidRPr="00505FD8">
        <w:rPr>
          <w:rFonts w:ascii="Arial" w:hAnsi="Arial" w:cs="Arial"/>
          <w:i/>
          <w:sz w:val="24"/>
          <w:szCs w:val="24"/>
        </w:rPr>
        <w:t xml:space="preserve">TRABAJADORES DE CONFIANZA AL SERVICIO DEL ESTADO. AUNQUE NO GOZAN DEL DERECHO A LA ESTABILIDAD EN EL EMPLEO, EL ARTÍCULO 123, APARTADO B, FRACCIÓN XIV, DE LA CONSTITUCIÓN POLÍTICA DE LOS ESTADOS </w:t>
      </w:r>
      <w:r w:rsidRPr="00505FD8">
        <w:rPr>
          <w:rFonts w:ascii="Arial" w:hAnsi="Arial" w:cs="Arial"/>
          <w:i/>
          <w:sz w:val="24"/>
          <w:szCs w:val="24"/>
        </w:rPr>
        <w:lastRenderedPageBreak/>
        <w:t>UNIDOS MEXICANOS, LES OTORGA DERECHOS DE PROTECCIÓN AL SALARIO Y DE SEGURIDAD SOCIAL</w:t>
      </w:r>
      <w:r w:rsidRPr="00505FD8">
        <w:rPr>
          <w:rFonts w:ascii="Arial" w:hAnsi="Arial" w:cs="Arial"/>
          <w:sz w:val="24"/>
          <w:szCs w:val="24"/>
        </w:rPr>
        <w:t>.</w:t>
      </w:r>
      <w:r>
        <w:rPr>
          <w:rFonts w:ascii="Arial" w:hAnsi="Arial" w:cs="Arial"/>
          <w:sz w:val="24"/>
          <w:szCs w:val="24"/>
        </w:rPr>
        <w:t xml:space="preserve">” </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Así también, la Tesis con datos de identificación: Gaceta del Semanario Judicial de la Federación, Libro I, </w:t>
      </w:r>
      <w:proofErr w:type="gramStart"/>
      <w:r>
        <w:rPr>
          <w:rFonts w:ascii="Arial" w:hAnsi="Arial" w:cs="Arial"/>
          <w:sz w:val="24"/>
          <w:szCs w:val="24"/>
        </w:rPr>
        <w:t>Diciembre</w:t>
      </w:r>
      <w:proofErr w:type="gramEnd"/>
      <w:r>
        <w:rPr>
          <w:rFonts w:ascii="Arial" w:hAnsi="Arial" w:cs="Arial"/>
          <w:sz w:val="24"/>
          <w:szCs w:val="24"/>
        </w:rPr>
        <w:t xml:space="preserve"> de 2013, Tomo II, Décima Época, pág. 1189, Tesis Aislada Constitucional, Tribunales Colegiados de Circuito, y de rubro: “</w:t>
      </w:r>
      <w:r w:rsidRPr="009F5BEB">
        <w:rPr>
          <w:rFonts w:ascii="Arial" w:hAnsi="Arial" w:cs="Arial"/>
          <w:i/>
          <w:sz w:val="24"/>
          <w:szCs w:val="24"/>
        </w:rPr>
        <w:t>LAGUNA JURÍDICA O DEL DERECHO" O "VACÍO LEGISLATIVO". PARA LLENARLO EL JUZGADOR DEBE ACUDIR, PRIMERO, A LA SUPLETORIEDAD O LA ANALOGÍA Y, DESPUÉS, A LOS PRINCIPIOS GENERALES DEL DERECHO</w:t>
      </w:r>
      <w:r w:rsidRPr="009F5BEB">
        <w:rPr>
          <w:rFonts w:ascii="Arial" w:hAnsi="Arial" w:cs="Arial"/>
          <w:sz w:val="24"/>
          <w:szCs w:val="24"/>
        </w:rPr>
        <w:t>.</w:t>
      </w:r>
      <w:r>
        <w:rPr>
          <w:rFonts w:ascii="Arial" w:hAnsi="Arial" w:cs="Arial"/>
          <w:sz w:val="24"/>
          <w:szCs w:val="24"/>
        </w:rPr>
        <w:t>”</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esta Juzgadora advierte, que el artículo 64 de la Ley de Pensiones para los Trabajadores del Gobierno del Estado de Oaxaca, en la aplicación al caso concreto resulta </w:t>
      </w:r>
      <w:r w:rsidRPr="00A6574D">
        <w:rPr>
          <w:rFonts w:ascii="Arial" w:hAnsi="Arial" w:cs="Arial"/>
          <w:b/>
          <w:sz w:val="24"/>
          <w:szCs w:val="24"/>
        </w:rPr>
        <w:t>discriminatorio</w:t>
      </w:r>
      <w:r>
        <w:rPr>
          <w:rFonts w:ascii="Arial" w:hAnsi="Arial" w:cs="Arial"/>
          <w:b/>
          <w:sz w:val="24"/>
          <w:szCs w:val="24"/>
        </w:rPr>
        <w:t>,</w:t>
      </w:r>
      <w:r>
        <w:rPr>
          <w:rFonts w:ascii="Arial" w:hAnsi="Arial" w:cs="Arial"/>
          <w:sz w:val="24"/>
          <w:szCs w:val="24"/>
        </w:rPr>
        <w:t xml:space="preserve"> para los trabajadores de confianza, al considerar solo a los trabajadores de base, para la devolución de aportaciones al fondo de pensiones, en el supuesto en que no cumplan con la antigüedad debida para obtener una pensión; pues el artículo 123 apartado B, fracción XIV, de la Constitución Política de los Estados Unidos Mexicanos, claramente dispone que los trabajadores de confianza gozarán de los beneficios de la seguridad social, por lo que el espíritu del legislador constitucionalista, tiene la intención de no restringir el derecho de los trabajadores </w:t>
      </w:r>
      <w:r w:rsidRPr="006928E4">
        <w:rPr>
          <w:rFonts w:ascii="Arial" w:hAnsi="Arial" w:cs="Arial"/>
          <w:sz w:val="24"/>
          <w:szCs w:val="24"/>
        </w:rPr>
        <w:t>de confianza a esa prerrogativa;</w:t>
      </w:r>
      <w:r>
        <w:rPr>
          <w:rFonts w:ascii="Arial" w:hAnsi="Arial" w:cs="Arial"/>
          <w:sz w:val="24"/>
          <w:szCs w:val="24"/>
        </w:rPr>
        <w:t xml:space="preserve"> máxime, que las aportaciones efectuadas por los trabajadores de base como por los de confianza, se ubican en un plano de igualdad, en relación al porcentaje de descuento que se les efectúa (9%), como lo dispone el artículo 6 fracción II de la Ley de Pensiones para los Trabajadores del Gobierno del Estado de Oaxaca, el cual no hace distinción entre uno y otro, por lo que si ambos erogan en igualdad porcentual, una parte de sus percepciones cuando se encuentren en activo al fondo de pensiones, para después estar en aptitud de acceder a una pensión, ubicándose en línea recta ambas categorías (base-confianza), no existe razón para que unos tengan el derecho de obtener la devolución y otros no, cuando no cumplan la antigüedad requerida para la obtención de una pensión. </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Ahora bien, el artículo 1 reformado de la Constitución Política de los Estados Unidos Mexicanos, dispone:</w:t>
      </w:r>
    </w:p>
    <w:p w:rsidR="000230A8" w:rsidRPr="00660480" w:rsidRDefault="000230A8" w:rsidP="000230A8">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lastRenderedPageBreak/>
        <w:tab/>
        <w:t>“</w:t>
      </w:r>
      <w:r w:rsidRPr="00660480">
        <w:rPr>
          <w:rFonts w:ascii="Arial" w:hAnsi="Arial" w:cs="Arial"/>
          <w:b/>
          <w:i/>
          <w:sz w:val="24"/>
          <w:szCs w:val="24"/>
        </w:rPr>
        <w:t>Artículo 1o.</w:t>
      </w:r>
      <w:r w:rsidRPr="00660480">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0230A8" w:rsidRPr="00660480" w:rsidRDefault="000230A8" w:rsidP="000230A8">
      <w:pPr>
        <w:tabs>
          <w:tab w:val="left" w:pos="284"/>
          <w:tab w:val="left" w:pos="567"/>
        </w:tabs>
        <w:spacing w:before="240" w:line="360" w:lineRule="auto"/>
        <w:jc w:val="both"/>
        <w:rPr>
          <w:rFonts w:ascii="Arial" w:hAnsi="Arial" w:cs="Arial"/>
          <w:i/>
          <w:sz w:val="24"/>
          <w:szCs w:val="24"/>
        </w:rPr>
      </w:pPr>
      <w:r w:rsidRPr="00660480">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p>
    <w:p w:rsidR="000230A8" w:rsidRPr="00660480" w:rsidRDefault="000230A8" w:rsidP="000230A8">
      <w:pPr>
        <w:tabs>
          <w:tab w:val="left" w:pos="284"/>
          <w:tab w:val="left" w:pos="567"/>
        </w:tabs>
        <w:spacing w:before="240" w:line="360" w:lineRule="auto"/>
        <w:jc w:val="both"/>
        <w:rPr>
          <w:rFonts w:ascii="Arial" w:hAnsi="Arial" w:cs="Arial"/>
          <w:i/>
          <w:sz w:val="24"/>
          <w:szCs w:val="24"/>
        </w:rPr>
      </w:pPr>
      <w:r w:rsidRPr="00660480">
        <w:rPr>
          <w:rFonts w:ascii="Arial" w:hAnsi="Arial" w:cs="Arial"/>
          <w:i/>
          <w:sz w:val="24"/>
          <w:szCs w:val="24"/>
        </w:rPr>
        <w:tab/>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230A8" w:rsidRPr="00660480" w:rsidRDefault="000230A8" w:rsidP="000230A8">
      <w:pPr>
        <w:tabs>
          <w:tab w:val="left" w:pos="284"/>
          <w:tab w:val="left" w:pos="567"/>
        </w:tabs>
        <w:spacing w:before="240" w:line="360" w:lineRule="auto"/>
        <w:jc w:val="both"/>
        <w:rPr>
          <w:rFonts w:ascii="Arial" w:hAnsi="Arial" w:cs="Arial"/>
          <w:i/>
          <w:sz w:val="24"/>
          <w:szCs w:val="24"/>
        </w:rPr>
      </w:pPr>
      <w:r w:rsidRPr="00660480">
        <w:rPr>
          <w:rFonts w:ascii="Arial" w:hAnsi="Arial" w:cs="Arial"/>
          <w:i/>
          <w:sz w:val="24"/>
          <w:szCs w:val="24"/>
        </w:rPr>
        <w:tab/>
        <w:t>Está prohibida la esclavitud en los Estados Unidos Mexicanos. Los esclavos del extranjero que entren al territorio nacional alcanzarán, por este solo hecho, su libertad y la protección de las leyes.</w:t>
      </w:r>
    </w:p>
    <w:p w:rsidR="000230A8" w:rsidRDefault="000230A8" w:rsidP="000230A8">
      <w:pPr>
        <w:tabs>
          <w:tab w:val="left" w:pos="284"/>
          <w:tab w:val="left" w:pos="567"/>
        </w:tabs>
        <w:spacing w:before="240" w:line="360" w:lineRule="auto"/>
        <w:jc w:val="both"/>
        <w:rPr>
          <w:rFonts w:ascii="Arial" w:hAnsi="Arial" w:cs="Arial"/>
          <w:sz w:val="24"/>
          <w:szCs w:val="24"/>
        </w:rPr>
      </w:pPr>
      <w:r w:rsidRPr="00660480">
        <w:rPr>
          <w:rFonts w:ascii="Arial" w:hAnsi="Arial" w:cs="Arial"/>
          <w:i/>
          <w:sz w:val="24"/>
          <w:szCs w:val="24"/>
        </w:rPr>
        <w:tab/>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1B162D">
        <w:rPr>
          <w:rFonts w:ascii="Arial" w:hAnsi="Arial" w:cs="Arial"/>
          <w:sz w:val="24"/>
          <w:szCs w:val="24"/>
        </w:rPr>
        <w:t>.</w:t>
      </w:r>
      <w:r>
        <w:rPr>
          <w:rFonts w:ascii="Arial" w:hAnsi="Arial" w:cs="Arial"/>
          <w:sz w:val="24"/>
          <w:szCs w:val="24"/>
        </w:rPr>
        <w:t>”</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más alto Tribunal del País, ha destacado </w:t>
      </w:r>
      <w:proofErr w:type="gramStart"/>
      <w:r>
        <w:rPr>
          <w:rFonts w:ascii="Arial" w:hAnsi="Arial" w:cs="Arial"/>
          <w:sz w:val="24"/>
          <w:szCs w:val="24"/>
        </w:rPr>
        <w:t>que</w:t>
      </w:r>
      <w:proofErr w:type="gramEnd"/>
      <w:r>
        <w:rPr>
          <w:rFonts w:ascii="Arial" w:hAnsi="Arial" w:cs="Arial"/>
          <w:sz w:val="24"/>
          <w:szCs w:val="24"/>
        </w:rPr>
        <w:t xml:space="preserve"> en dicho precepto constitucional, se establecen éstos criterios:</w:t>
      </w:r>
    </w:p>
    <w:p w:rsidR="000230A8" w:rsidRPr="00D407B3"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86670B">
        <w:rPr>
          <w:rFonts w:ascii="Arial" w:hAnsi="Arial" w:cs="Arial"/>
          <w:b/>
          <w:sz w:val="24"/>
          <w:szCs w:val="24"/>
        </w:rPr>
        <w:t>1)</w:t>
      </w:r>
      <w:r w:rsidRPr="00D407B3">
        <w:rPr>
          <w:rFonts w:ascii="Arial" w:hAnsi="Arial" w:cs="Arial"/>
          <w:sz w:val="24"/>
          <w:szCs w:val="24"/>
        </w:rPr>
        <w:t xml:space="preserve"> Interpretación conforme a la Constitución y a los tratados internacionales en materia de derechos humanos; </w:t>
      </w:r>
    </w:p>
    <w:p w:rsidR="000230A8" w:rsidRPr="00D407B3"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86670B">
        <w:rPr>
          <w:rFonts w:ascii="Arial" w:hAnsi="Arial" w:cs="Arial"/>
          <w:b/>
          <w:sz w:val="24"/>
          <w:szCs w:val="24"/>
        </w:rPr>
        <w:t>2)</w:t>
      </w:r>
      <w:r w:rsidRPr="00D407B3">
        <w:rPr>
          <w:rFonts w:ascii="Arial" w:hAnsi="Arial" w:cs="Arial"/>
          <w:sz w:val="24"/>
          <w:szCs w:val="24"/>
        </w:rPr>
        <w:t xml:space="preserve"> Interpretación pro homine o más favorable a la persona, de la Constitución y las leyes secundarias; </w:t>
      </w:r>
    </w:p>
    <w:p w:rsidR="000230A8" w:rsidRPr="00D407B3"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86670B">
        <w:rPr>
          <w:rFonts w:ascii="Arial" w:hAnsi="Arial" w:cs="Arial"/>
          <w:b/>
          <w:sz w:val="24"/>
          <w:szCs w:val="24"/>
        </w:rPr>
        <w:t>3)</w:t>
      </w:r>
      <w:r w:rsidRPr="00D407B3">
        <w:rPr>
          <w:rFonts w:ascii="Arial" w:hAnsi="Arial" w:cs="Arial"/>
          <w:sz w:val="24"/>
          <w:szCs w:val="24"/>
        </w:rPr>
        <w:t xml:space="preserve"> Interpretación amplia y expansiva de los derechos humanos, acorde con los subprincipios de universalidad, interdependencia, progresividad e indivisibilidad; y,</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lastRenderedPageBreak/>
        <w:tab/>
      </w:r>
      <w:r w:rsidRPr="0086670B">
        <w:rPr>
          <w:rFonts w:ascii="Arial" w:hAnsi="Arial" w:cs="Arial"/>
          <w:b/>
          <w:sz w:val="24"/>
          <w:szCs w:val="24"/>
        </w:rPr>
        <w:t>4)</w:t>
      </w:r>
      <w:r w:rsidRPr="00D407B3">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Además, si bien es cierto que los Jueces Ordinarios no pueden hacer una declaración general sobre invalidez o expulsar del ordenamiento jurídico las normas que consideren contrarias a los derechos humanos contenidos en la Constitución y en los tratados, por ser actividad exclusiva de las vías de control directas establecidas en los artículos 103, 105 y 107 Constitucionales,  sin  embargo, existe la facultad y obligación, de que todas las autoridades ordinarias, </w:t>
      </w:r>
      <w:r w:rsidRPr="00134AAC">
        <w:rPr>
          <w:rFonts w:ascii="Arial" w:hAnsi="Arial" w:cs="Arial"/>
          <w:b/>
          <w:sz w:val="24"/>
          <w:szCs w:val="24"/>
        </w:rPr>
        <w:t>dej</w:t>
      </w:r>
      <w:r>
        <w:rPr>
          <w:rFonts w:ascii="Arial" w:hAnsi="Arial" w:cs="Arial"/>
          <w:b/>
          <w:sz w:val="24"/>
          <w:szCs w:val="24"/>
        </w:rPr>
        <w:t>en de aplicar</w:t>
      </w:r>
      <w:r w:rsidRPr="00134AAC">
        <w:rPr>
          <w:rFonts w:ascii="Arial" w:hAnsi="Arial" w:cs="Arial"/>
          <w:b/>
          <w:sz w:val="24"/>
          <w:szCs w:val="24"/>
        </w:rPr>
        <w:t xml:space="preserve"> normas inferiores</w:t>
      </w:r>
      <w:r>
        <w:rPr>
          <w:rFonts w:ascii="Arial" w:hAnsi="Arial" w:cs="Arial"/>
          <w:b/>
          <w:sz w:val="24"/>
          <w:szCs w:val="24"/>
        </w:rPr>
        <w:t>,</w:t>
      </w:r>
      <w:r>
        <w:rPr>
          <w:rFonts w:ascii="Arial" w:hAnsi="Arial" w:cs="Arial"/>
          <w:sz w:val="24"/>
          <w:szCs w:val="24"/>
        </w:rPr>
        <w:t xml:space="preserve"> </w:t>
      </w:r>
      <w:r w:rsidRPr="00FB45AA">
        <w:rPr>
          <w:rFonts w:ascii="Arial" w:hAnsi="Arial" w:cs="Arial"/>
          <w:sz w:val="24"/>
          <w:szCs w:val="24"/>
        </w:rPr>
        <w:t>dando preferencia a los contenidos de la Constitución y de los tratados en la materia.</w:t>
      </w:r>
    </w:p>
    <w:p w:rsidR="000230A8" w:rsidRDefault="000230A8" w:rsidP="000230A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Consecuentemente, para asegurar la primacía, y aplicación efectiva de los derechos humanos establecidos en la Constitución 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w:t>
      </w:r>
      <w:r w:rsidRPr="00DE5509">
        <w:rPr>
          <w:rFonts w:ascii="Arial" w:hAnsi="Arial" w:cs="Arial"/>
          <w:sz w:val="24"/>
          <w:szCs w:val="24"/>
        </w:rPr>
        <w:t xml:space="preserve">considera jurídicamente procedente </w:t>
      </w:r>
      <w:r w:rsidRPr="00DE5509">
        <w:rPr>
          <w:rFonts w:ascii="Arial" w:hAnsi="Arial" w:cs="Arial"/>
          <w:b/>
          <w:sz w:val="24"/>
          <w:szCs w:val="24"/>
        </w:rPr>
        <w:t>inaplicar el artículo 64 de la Ley de Pensiones</w:t>
      </w:r>
      <w:r>
        <w:rPr>
          <w:rFonts w:ascii="Arial" w:hAnsi="Arial" w:cs="Arial"/>
          <w:sz w:val="24"/>
          <w:szCs w:val="24"/>
        </w:rPr>
        <w:t xml:space="preserve"> </w:t>
      </w:r>
      <w:r w:rsidRPr="00943F14">
        <w:rPr>
          <w:rFonts w:ascii="Arial" w:hAnsi="Arial" w:cs="Arial"/>
          <w:b/>
          <w:sz w:val="24"/>
          <w:szCs w:val="24"/>
        </w:rPr>
        <w:t>para los Trabajadores del Gobierno del Estado</w:t>
      </w:r>
      <w:r>
        <w:rPr>
          <w:rFonts w:ascii="Arial" w:hAnsi="Arial" w:cs="Arial"/>
          <w:sz w:val="24"/>
          <w:szCs w:val="24"/>
        </w:rPr>
        <w:t xml:space="preserve">, por ser discriminatorio y contravenir el artículo 1 Constitucional, pues en el caso particular del C. </w:t>
      </w:r>
      <w:r w:rsidR="00F55862">
        <w:rPr>
          <w:rFonts w:ascii="Arial" w:hAnsi="Arial" w:cs="Arial"/>
          <w:sz w:val="24"/>
          <w:szCs w:val="24"/>
        </w:rPr>
        <w:t>***** ***** ***** *****</w:t>
      </w:r>
      <w:r>
        <w:rPr>
          <w:rFonts w:ascii="Arial" w:hAnsi="Arial" w:cs="Arial"/>
          <w:sz w:val="24"/>
          <w:szCs w:val="24"/>
        </w:rPr>
        <w:t>, debe obtener la devolución de las aportaciones que efectuó al Fondo de Pensiones y en términos del artículo 123</w:t>
      </w:r>
      <w:r w:rsidRPr="000846E9">
        <w:rPr>
          <w:rFonts w:ascii="Arial" w:hAnsi="Arial" w:cs="Arial"/>
          <w:sz w:val="24"/>
          <w:szCs w:val="24"/>
        </w:rPr>
        <w:t xml:space="preserve"> </w:t>
      </w:r>
      <w:r>
        <w:rPr>
          <w:rFonts w:ascii="Arial" w:hAnsi="Arial" w:cs="Arial"/>
          <w:sz w:val="24"/>
          <w:szCs w:val="24"/>
        </w:rPr>
        <w:t xml:space="preserve">apartado B, fracción XIV, de la Constitución Política de los Estados Unidos Mexicanos, ampliando la protección de los derechos a la Seguridad Social del actor, se declara la </w:t>
      </w:r>
      <w:r w:rsidRPr="00DE5509">
        <w:rPr>
          <w:rFonts w:ascii="Arial" w:hAnsi="Arial" w:cs="Arial"/>
          <w:b/>
          <w:sz w:val="24"/>
          <w:szCs w:val="24"/>
        </w:rPr>
        <w:t>NULIDAD</w:t>
      </w:r>
      <w:r>
        <w:rPr>
          <w:rFonts w:ascii="Arial" w:hAnsi="Arial" w:cs="Arial"/>
          <w:sz w:val="24"/>
          <w:szCs w:val="24"/>
        </w:rPr>
        <w:t xml:space="preserve"> de la resolución impugnada, consistente en la resolución contenida en el oficio OP/DG/DPE/2240/2017, dictada por el Director General de la Oficina de Pensiones del Estado de Oaxaca, </w:t>
      </w:r>
      <w:r w:rsidRPr="0084002F">
        <w:rPr>
          <w:rFonts w:ascii="Arial" w:hAnsi="Arial" w:cs="Arial"/>
          <w:b/>
          <w:sz w:val="24"/>
          <w:szCs w:val="24"/>
        </w:rPr>
        <w:t>PARA EL EFECTO</w:t>
      </w:r>
      <w:r>
        <w:rPr>
          <w:rFonts w:ascii="Arial" w:hAnsi="Arial" w:cs="Arial"/>
          <w:sz w:val="24"/>
          <w:szCs w:val="24"/>
        </w:rPr>
        <w:t xml:space="preserve"> de que dicte una nueva determinación, en la que declare procedente la solicitud del actor y se ordene la devolución de las aportaciones efectuadas al Fondo de Pensiones, lo anterior de conformidad con lo dispuesto en los artículos 208 fracción II, y 209 de la Ley de Procedimiento y Justicia Administrativa para el Estado de Oaxaca. </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Sirve de apoyo a lo anterior, la Jurisprudencia sustentada por la Suprema Corte de Justicia de la Nación, con datos de identificación: Semanario Judicial de la Federación y su Gaceta, Libro XV, Diciembre de 2012, Tomo 1, Décima época, pág. 420, registro 2002264, Jurisprudencia Común, Primera Sala, y de rubro: </w:t>
      </w:r>
      <w:r w:rsidRPr="005435ED">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395A24">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395A24">
        <w:rPr>
          <w:rFonts w:ascii="Arial" w:hAnsi="Arial" w:cs="Arial"/>
          <w:i/>
          <w:sz w:val="24"/>
          <w:szCs w:val="24"/>
        </w:rPr>
        <w:t>“PASOS A SEGUIR EN EL CONTROL DE CONSTITUCIONALIDAD Y CONVENCIONALIDAD EX OFFICIO EN MATERIA DE DERECHOS HUMANOS.</w:t>
      </w:r>
      <w:r w:rsidRPr="00395A24">
        <w:rPr>
          <w:rFonts w:ascii="Arial" w:hAnsi="Arial" w:cs="Arial"/>
          <w:sz w:val="24"/>
          <w:szCs w:val="24"/>
        </w:rPr>
        <w:t>”</w:t>
      </w:r>
    </w:p>
    <w:p w:rsidR="000230A8" w:rsidRPr="00395A24" w:rsidRDefault="000230A8" w:rsidP="000230A8">
      <w:pPr>
        <w:spacing w:line="360" w:lineRule="auto"/>
        <w:ind w:firstLine="708"/>
        <w:jc w:val="both"/>
        <w:rPr>
          <w:rFonts w:ascii="Arial" w:hAnsi="Arial" w:cs="Arial"/>
          <w:sz w:val="24"/>
          <w:szCs w:val="24"/>
        </w:rPr>
      </w:pPr>
      <w:r>
        <w:rPr>
          <w:rFonts w:ascii="Arial" w:hAnsi="Arial" w:cs="Arial"/>
          <w:sz w:val="24"/>
          <w:szCs w:val="24"/>
        </w:rPr>
        <w:t>Y la Jurisprudencia identificada en el Apéndice de 2011, Tomo I, Constitucional 3. Derechos Fundamentales Primera Parte-SCJN Vigésima Segunda Sección-Derechos Laborales, Novena Época, pág. 2169, registro 1012200, Jurisprudencia Constitucional Laboral, Segunda Sala, y de rubro: “</w:t>
      </w:r>
      <w:r w:rsidRPr="000E4042">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0E4042">
        <w:rPr>
          <w:rFonts w:ascii="Arial" w:hAnsi="Arial" w:cs="Arial"/>
          <w:sz w:val="24"/>
          <w:szCs w:val="24"/>
        </w:rPr>
        <w:t>.</w:t>
      </w:r>
      <w:r>
        <w:rPr>
          <w:rFonts w:ascii="Arial" w:hAnsi="Arial" w:cs="Arial"/>
          <w:sz w:val="24"/>
          <w:szCs w:val="24"/>
        </w:rPr>
        <w:t>”</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fundados lo ya estudiados, se consideró suficiente para declarar la nulidad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0230A8"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AD2BBA" w:rsidRDefault="00AD2BBA" w:rsidP="000230A8">
      <w:pPr>
        <w:tabs>
          <w:tab w:val="center" w:pos="4574"/>
        </w:tabs>
        <w:spacing w:line="360" w:lineRule="auto"/>
        <w:ind w:firstLine="708"/>
        <w:jc w:val="both"/>
        <w:rPr>
          <w:rFonts w:ascii="Arial" w:hAnsi="Arial" w:cs="Arial"/>
          <w:sz w:val="24"/>
          <w:szCs w:val="24"/>
        </w:rPr>
      </w:pPr>
    </w:p>
    <w:p w:rsidR="00AD2BBA" w:rsidRDefault="00AD2BBA" w:rsidP="000230A8">
      <w:pPr>
        <w:tabs>
          <w:tab w:val="center" w:pos="4574"/>
        </w:tabs>
        <w:spacing w:line="360" w:lineRule="auto"/>
        <w:ind w:firstLine="708"/>
        <w:jc w:val="both"/>
        <w:rPr>
          <w:rFonts w:ascii="Arial" w:hAnsi="Arial" w:cs="Arial"/>
          <w:sz w:val="24"/>
          <w:szCs w:val="24"/>
        </w:rPr>
      </w:pPr>
      <w:bookmarkStart w:id="0" w:name="_GoBack"/>
      <w:bookmarkEnd w:id="0"/>
    </w:p>
    <w:p w:rsidR="000230A8" w:rsidRDefault="000230A8" w:rsidP="000230A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0230A8" w:rsidRDefault="000230A8" w:rsidP="000230A8">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 -</w:t>
      </w:r>
    </w:p>
    <w:p w:rsidR="000230A8" w:rsidRDefault="000230A8" w:rsidP="000230A8">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 - - - - - - - - </w:t>
      </w:r>
    </w:p>
    <w:p w:rsidR="000230A8" w:rsidRDefault="000230A8" w:rsidP="000230A8">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de la resolución contenida en el oficio OP/DG/DPE/2240/2017, dictada por el Director General de la Oficina de Pensiones del Estado de Oaxaca, </w:t>
      </w:r>
      <w:r w:rsidRPr="0084002F">
        <w:rPr>
          <w:rFonts w:ascii="Arial" w:hAnsi="Arial" w:cs="Arial"/>
          <w:b/>
          <w:sz w:val="24"/>
          <w:szCs w:val="24"/>
        </w:rPr>
        <w:t>PARA EL EFECTO</w:t>
      </w:r>
      <w:r>
        <w:rPr>
          <w:rFonts w:ascii="Arial" w:hAnsi="Arial" w:cs="Arial"/>
          <w:sz w:val="24"/>
          <w:szCs w:val="24"/>
        </w:rPr>
        <w:t xml:space="preserve"> de que dicte una nueva determinación, en la que declare procedente la solicitud del actor y ordene la devolución de las aportaciones efectuadas al fondo de pensiones; lo anterior en términos precisados en el considerando SEXTO de esta resolución. - - - - - - - - - - - - - - - - - - - - - - - - - - - - - - - - - - - - - - - - - - - - - - - - </w:t>
      </w:r>
    </w:p>
    <w:p w:rsidR="000230A8" w:rsidRDefault="000230A8" w:rsidP="000230A8">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0230A8" w:rsidRPr="00746184" w:rsidRDefault="000230A8" w:rsidP="000230A8">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w:t>
      </w:r>
    </w:p>
    <w:p w:rsidR="00EF57B2" w:rsidRPr="00DA54EB" w:rsidRDefault="00EB2EA6" w:rsidP="00DA54EB">
      <w:r w:rsidRPr="00DA54EB">
        <w:t xml:space="preserve"> </w:t>
      </w:r>
    </w:p>
    <w:sectPr w:rsidR="00EF57B2" w:rsidRPr="00DA54EB" w:rsidSect="00AD2BBA">
      <w:headerReference w:type="default" r:id="rId8"/>
      <w:footerReference w:type="even" r:id="rId9"/>
      <w:footerReference w:type="default" r:id="rId10"/>
      <w:headerReference w:type="first" r:id="rId11"/>
      <w:pgSz w:w="12240" w:h="20160" w:code="5"/>
      <w:pgMar w:top="1135" w:right="1701" w:bottom="3261"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BC" w:rsidRDefault="00AA68BC" w:rsidP="00D833EF">
      <w:pPr>
        <w:spacing w:after="0" w:line="240" w:lineRule="auto"/>
      </w:pPr>
      <w:r>
        <w:separator/>
      </w:r>
    </w:p>
  </w:endnote>
  <w:endnote w:type="continuationSeparator" w:id="0">
    <w:p w:rsidR="00AA68BC" w:rsidRDefault="00AA68BC"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BBA" w:rsidRDefault="00AD2BBA">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8" type="#_x0000_t107" style="position:absolute;margin-left:170.2pt;margin-top:41.6pt;width:101pt;height:27.05pt;z-index:251668992;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68">
            <w:txbxContent>
              <w:p w:rsidR="00AD2BBA" w:rsidRPr="00AC1B4C" w:rsidRDefault="00AD2BBA" w:rsidP="00AD2BB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0230A8">
                  <w:rPr>
                    <w:noProof/>
                    <w:color w:val="000000" w:themeColor="text1"/>
                    <w:lang w:val="es-ES"/>
                  </w:rPr>
                  <w:t>11</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AA68BC"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230A8" w:rsidRPr="000230A8">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BC" w:rsidRDefault="00AA68BC" w:rsidP="00D833EF">
      <w:pPr>
        <w:spacing w:after="0" w:line="240" w:lineRule="auto"/>
      </w:pPr>
      <w:r>
        <w:separator/>
      </w:r>
    </w:p>
  </w:footnote>
  <w:footnote w:type="continuationSeparator" w:id="0">
    <w:p w:rsidR="00AA68BC" w:rsidRDefault="00AA68BC"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A17CD" w:rsidP="00171F13">
    <w:pPr>
      <w:pStyle w:val="Encabezado"/>
      <w:jc w:val="right"/>
      <w:rPr>
        <w:rFonts w:ascii="Bookman Old Style" w:hAnsi="Bookman Old Style"/>
        <w:b/>
        <w:sz w:val="24"/>
        <w:szCs w:val="24"/>
      </w:rPr>
    </w:pPr>
    <w:r>
      <w:rPr>
        <w:rFonts w:ascii="Bookman Old Style" w:hAnsi="Bookman Old Style"/>
        <w:noProof/>
      </w:rPr>
      <w:pict>
        <v:shapetype id="_x0000_t202" coordsize="21600,21600" o:spt="202" path="m,l,21600r21600,l21600,xe">
          <v:stroke joinstyle="miter"/>
          <v:path gradientshapeok="t" o:connecttype="rect"/>
        </v:shapetype>
        <v:shape id="Cuadro de texto 2" o:spid="_x0000_s2067" type="#_x0000_t202" style="position:absolute;left:0;text-align:left;margin-left:-104.25pt;margin-top:296.95pt;width:89.55pt;height:95.25pt;z-index:-2516485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rbYkjMCAABfBAAADgAAAAAAAAAAAAAA&#10;AAAuAgAAZHJzL2Uyb0RvYy54bWxQSwECLQAUAAYACAAAACEAngrh5+AAAAAKAQAADwAAAAAAAAAA&#10;AAAAAACNBAAAZHJzL2Rvd25yZXYueG1sUEsFBgAAAAAEAAQA8wAAAJoFAAAAAA==&#10;">
          <v:textbox>
            <w:txbxContent>
              <w:p w:rsidR="004A17CD" w:rsidRPr="003B6E97" w:rsidRDefault="004A17CD" w:rsidP="004A17C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743773" w:rsidRPr="003B6A65">
      <w:rPr>
        <w:rFonts w:ascii="Bookman Old Style" w:hAnsi="Bookman Old Style"/>
      </w:rPr>
      <w:t xml:space="preserve">JUICIO DE </w:t>
    </w:r>
    <w:r w:rsidR="00743773">
      <w:rPr>
        <w:rFonts w:ascii="Bookman Old Style" w:hAnsi="Bookman Old Style"/>
      </w:rPr>
      <w:t xml:space="preserve">NULIDAD </w:t>
    </w:r>
    <w:r w:rsidR="00DA54EB">
      <w:rPr>
        <w:rFonts w:ascii="Bookman Old Style" w:hAnsi="Bookman Old Style"/>
        <w:b/>
      </w:rPr>
      <w:t>138</w:t>
    </w:r>
    <w:r w:rsidR="00743773" w:rsidRPr="002F2D7B">
      <w:rPr>
        <w:rFonts w:ascii="Bookman Old Style" w:hAnsi="Bookman Old Style"/>
        <w:b/>
        <w:sz w:val="24"/>
        <w:szCs w:val="24"/>
      </w:rPr>
      <w:t>/201</w:t>
    </w:r>
    <w:r w:rsidR="00C35811">
      <w:rPr>
        <w:rFonts w:ascii="Bookman Old Style" w:hAnsi="Bookman Old Style"/>
        <w:b/>
        <w:sz w:val="24"/>
        <w:szCs w:val="24"/>
      </w:rPr>
      <w:t>7</w:t>
    </w:r>
  </w:p>
  <w:p w:rsidR="00743773" w:rsidRPr="00071C38" w:rsidRDefault="00743773" w:rsidP="00C35811">
    <w:pPr>
      <w:pStyle w:val="Encabezado"/>
      <w:jc w:val="cent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A68B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62" type="#_x0000_t75" style="position:absolute;margin-left:0;margin-top:0;width:441.75pt;height:440.3pt;z-index:-251654144;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A63"/>
    <w:rsid w:val="00011FFB"/>
    <w:rsid w:val="00013DA7"/>
    <w:rsid w:val="00014265"/>
    <w:rsid w:val="000212E5"/>
    <w:rsid w:val="000230A8"/>
    <w:rsid w:val="00027F59"/>
    <w:rsid w:val="00030DB0"/>
    <w:rsid w:val="00032762"/>
    <w:rsid w:val="00032C34"/>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707BE"/>
    <w:rsid w:val="00070B2B"/>
    <w:rsid w:val="00071C38"/>
    <w:rsid w:val="00073195"/>
    <w:rsid w:val="00073411"/>
    <w:rsid w:val="0007555A"/>
    <w:rsid w:val="000770A7"/>
    <w:rsid w:val="000818EC"/>
    <w:rsid w:val="00083D5F"/>
    <w:rsid w:val="00085A27"/>
    <w:rsid w:val="00085A32"/>
    <w:rsid w:val="0009154F"/>
    <w:rsid w:val="00093BD3"/>
    <w:rsid w:val="000943A2"/>
    <w:rsid w:val="00094AAA"/>
    <w:rsid w:val="000A2AA3"/>
    <w:rsid w:val="000A2C09"/>
    <w:rsid w:val="000A3984"/>
    <w:rsid w:val="000A43F4"/>
    <w:rsid w:val="000A54AE"/>
    <w:rsid w:val="000A59C9"/>
    <w:rsid w:val="000A626F"/>
    <w:rsid w:val="000A6332"/>
    <w:rsid w:val="000A6B3B"/>
    <w:rsid w:val="000B0610"/>
    <w:rsid w:val="000B0A63"/>
    <w:rsid w:val="000B0BD1"/>
    <w:rsid w:val="000B198A"/>
    <w:rsid w:val="000B7845"/>
    <w:rsid w:val="000C2A54"/>
    <w:rsid w:val="000C53DA"/>
    <w:rsid w:val="000C557A"/>
    <w:rsid w:val="000C666F"/>
    <w:rsid w:val="000C711C"/>
    <w:rsid w:val="000C7766"/>
    <w:rsid w:val="000D069B"/>
    <w:rsid w:val="000D312B"/>
    <w:rsid w:val="000D427C"/>
    <w:rsid w:val="000D4871"/>
    <w:rsid w:val="000D4BA3"/>
    <w:rsid w:val="000D4BD1"/>
    <w:rsid w:val="000D6443"/>
    <w:rsid w:val="000D6B19"/>
    <w:rsid w:val="000E08F5"/>
    <w:rsid w:val="000E191A"/>
    <w:rsid w:val="000E2332"/>
    <w:rsid w:val="000E3003"/>
    <w:rsid w:val="000E7798"/>
    <w:rsid w:val="000F0DF5"/>
    <w:rsid w:val="000F2454"/>
    <w:rsid w:val="000F46CA"/>
    <w:rsid w:val="000F6265"/>
    <w:rsid w:val="000F7052"/>
    <w:rsid w:val="001005E9"/>
    <w:rsid w:val="00102843"/>
    <w:rsid w:val="00104882"/>
    <w:rsid w:val="00105734"/>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3A29"/>
    <w:rsid w:val="001347AC"/>
    <w:rsid w:val="001352D0"/>
    <w:rsid w:val="001375B6"/>
    <w:rsid w:val="00141E5F"/>
    <w:rsid w:val="001426A4"/>
    <w:rsid w:val="00143B02"/>
    <w:rsid w:val="00145090"/>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3F36"/>
    <w:rsid w:val="00204504"/>
    <w:rsid w:val="002069E2"/>
    <w:rsid w:val="0020725F"/>
    <w:rsid w:val="0021037E"/>
    <w:rsid w:val="00213055"/>
    <w:rsid w:val="0021320F"/>
    <w:rsid w:val="00213977"/>
    <w:rsid w:val="00216C33"/>
    <w:rsid w:val="00220E31"/>
    <w:rsid w:val="0022507D"/>
    <w:rsid w:val="002300D8"/>
    <w:rsid w:val="00231F31"/>
    <w:rsid w:val="00233665"/>
    <w:rsid w:val="00233A6C"/>
    <w:rsid w:val="00235314"/>
    <w:rsid w:val="00241C5A"/>
    <w:rsid w:val="0024420B"/>
    <w:rsid w:val="002451B9"/>
    <w:rsid w:val="00252A11"/>
    <w:rsid w:val="002538B9"/>
    <w:rsid w:val="002572B3"/>
    <w:rsid w:val="00263082"/>
    <w:rsid w:val="002719FD"/>
    <w:rsid w:val="002721F9"/>
    <w:rsid w:val="00272390"/>
    <w:rsid w:val="00276F7A"/>
    <w:rsid w:val="00282E89"/>
    <w:rsid w:val="002839D3"/>
    <w:rsid w:val="00284E72"/>
    <w:rsid w:val="00284F0B"/>
    <w:rsid w:val="002872CC"/>
    <w:rsid w:val="00287764"/>
    <w:rsid w:val="0028792B"/>
    <w:rsid w:val="002911E1"/>
    <w:rsid w:val="002912D1"/>
    <w:rsid w:val="002915B8"/>
    <w:rsid w:val="002924C6"/>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397F"/>
    <w:rsid w:val="002D6EB2"/>
    <w:rsid w:val="002E0E13"/>
    <w:rsid w:val="002E21A3"/>
    <w:rsid w:val="002E553B"/>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6069C"/>
    <w:rsid w:val="00360E6A"/>
    <w:rsid w:val="003632C3"/>
    <w:rsid w:val="00363CC9"/>
    <w:rsid w:val="0036478D"/>
    <w:rsid w:val="0036528F"/>
    <w:rsid w:val="00365A3C"/>
    <w:rsid w:val="003705C0"/>
    <w:rsid w:val="00373A0C"/>
    <w:rsid w:val="00375D8D"/>
    <w:rsid w:val="00376B8B"/>
    <w:rsid w:val="00377CB9"/>
    <w:rsid w:val="00382154"/>
    <w:rsid w:val="00390725"/>
    <w:rsid w:val="00391D7A"/>
    <w:rsid w:val="0039421F"/>
    <w:rsid w:val="003944D5"/>
    <w:rsid w:val="003951A0"/>
    <w:rsid w:val="0039563C"/>
    <w:rsid w:val="003A213E"/>
    <w:rsid w:val="003A41AE"/>
    <w:rsid w:val="003A614D"/>
    <w:rsid w:val="003B28BF"/>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2A78"/>
    <w:rsid w:val="00412E1E"/>
    <w:rsid w:val="00414DE2"/>
    <w:rsid w:val="00415157"/>
    <w:rsid w:val="00416ADB"/>
    <w:rsid w:val="00424831"/>
    <w:rsid w:val="00427B4C"/>
    <w:rsid w:val="00431407"/>
    <w:rsid w:val="004319BF"/>
    <w:rsid w:val="00432D2A"/>
    <w:rsid w:val="00435595"/>
    <w:rsid w:val="00437970"/>
    <w:rsid w:val="00437D56"/>
    <w:rsid w:val="0044104F"/>
    <w:rsid w:val="00443A88"/>
    <w:rsid w:val="00444893"/>
    <w:rsid w:val="0044493F"/>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5D86"/>
    <w:rsid w:val="00493FEC"/>
    <w:rsid w:val="00495289"/>
    <w:rsid w:val="0049552A"/>
    <w:rsid w:val="00496E1C"/>
    <w:rsid w:val="004A01DB"/>
    <w:rsid w:val="004A17CD"/>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71314"/>
    <w:rsid w:val="00574F0F"/>
    <w:rsid w:val="00574FAE"/>
    <w:rsid w:val="00580CBF"/>
    <w:rsid w:val="00581939"/>
    <w:rsid w:val="005831B3"/>
    <w:rsid w:val="00583A4F"/>
    <w:rsid w:val="00583B31"/>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52DA"/>
    <w:rsid w:val="005D69CD"/>
    <w:rsid w:val="005E15AB"/>
    <w:rsid w:val="005F09CB"/>
    <w:rsid w:val="005F1556"/>
    <w:rsid w:val="005F2F71"/>
    <w:rsid w:val="005F4EF8"/>
    <w:rsid w:val="00600FF3"/>
    <w:rsid w:val="00601425"/>
    <w:rsid w:val="00602D13"/>
    <w:rsid w:val="006049DA"/>
    <w:rsid w:val="0061232E"/>
    <w:rsid w:val="00612B60"/>
    <w:rsid w:val="006144FE"/>
    <w:rsid w:val="00614C0C"/>
    <w:rsid w:val="00615AF4"/>
    <w:rsid w:val="00617CB8"/>
    <w:rsid w:val="00620EA5"/>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AB5"/>
    <w:rsid w:val="006960B8"/>
    <w:rsid w:val="00696DB3"/>
    <w:rsid w:val="006972FD"/>
    <w:rsid w:val="006A3AED"/>
    <w:rsid w:val="006A6FCD"/>
    <w:rsid w:val="006A7EFB"/>
    <w:rsid w:val="006B1407"/>
    <w:rsid w:val="006B2760"/>
    <w:rsid w:val="006B2D14"/>
    <w:rsid w:val="006B2F96"/>
    <w:rsid w:val="006B4AEE"/>
    <w:rsid w:val="006B5F97"/>
    <w:rsid w:val="006C1704"/>
    <w:rsid w:val="006C2005"/>
    <w:rsid w:val="006C2A84"/>
    <w:rsid w:val="006C5B2B"/>
    <w:rsid w:val="006C606B"/>
    <w:rsid w:val="006D291D"/>
    <w:rsid w:val="006D3D8C"/>
    <w:rsid w:val="006D6340"/>
    <w:rsid w:val="006D6DFE"/>
    <w:rsid w:val="006E0A18"/>
    <w:rsid w:val="006E47CD"/>
    <w:rsid w:val="006E54D8"/>
    <w:rsid w:val="006E58B6"/>
    <w:rsid w:val="006E7CC9"/>
    <w:rsid w:val="006F3651"/>
    <w:rsid w:val="006F3F14"/>
    <w:rsid w:val="007014CB"/>
    <w:rsid w:val="00701AC5"/>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40D79"/>
    <w:rsid w:val="00742A57"/>
    <w:rsid w:val="00743773"/>
    <w:rsid w:val="00746D1F"/>
    <w:rsid w:val="0075021B"/>
    <w:rsid w:val="00752FB4"/>
    <w:rsid w:val="00753AB5"/>
    <w:rsid w:val="00754455"/>
    <w:rsid w:val="0075473D"/>
    <w:rsid w:val="00755A2C"/>
    <w:rsid w:val="007574FB"/>
    <w:rsid w:val="00766BA2"/>
    <w:rsid w:val="0076765C"/>
    <w:rsid w:val="00770F04"/>
    <w:rsid w:val="00771016"/>
    <w:rsid w:val="0077560E"/>
    <w:rsid w:val="00775C7B"/>
    <w:rsid w:val="00776814"/>
    <w:rsid w:val="00784724"/>
    <w:rsid w:val="00787EC9"/>
    <w:rsid w:val="007901A9"/>
    <w:rsid w:val="00791B67"/>
    <w:rsid w:val="007945CA"/>
    <w:rsid w:val="0079626F"/>
    <w:rsid w:val="0079654D"/>
    <w:rsid w:val="007A33C7"/>
    <w:rsid w:val="007A44EC"/>
    <w:rsid w:val="007B3C66"/>
    <w:rsid w:val="007B61FC"/>
    <w:rsid w:val="007C0777"/>
    <w:rsid w:val="007C1F73"/>
    <w:rsid w:val="007C4F37"/>
    <w:rsid w:val="007C5095"/>
    <w:rsid w:val="007C5FD9"/>
    <w:rsid w:val="007C6BEA"/>
    <w:rsid w:val="007D1B7F"/>
    <w:rsid w:val="007D1D70"/>
    <w:rsid w:val="007D2760"/>
    <w:rsid w:val="007D2CBF"/>
    <w:rsid w:val="007D4100"/>
    <w:rsid w:val="007D4FC0"/>
    <w:rsid w:val="007D60EC"/>
    <w:rsid w:val="007D6ED6"/>
    <w:rsid w:val="007E0078"/>
    <w:rsid w:val="007E2A06"/>
    <w:rsid w:val="007E2E58"/>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2532"/>
    <w:rsid w:val="008526E0"/>
    <w:rsid w:val="008548B2"/>
    <w:rsid w:val="00856ECD"/>
    <w:rsid w:val="00865319"/>
    <w:rsid w:val="00866CBE"/>
    <w:rsid w:val="00867368"/>
    <w:rsid w:val="008675DF"/>
    <w:rsid w:val="00871DBE"/>
    <w:rsid w:val="00872AC4"/>
    <w:rsid w:val="00874DE8"/>
    <w:rsid w:val="00876056"/>
    <w:rsid w:val="00877BC0"/>
    <w:rsid w:val="00877FC1"/>
    <w:rsid w:val="00880C71"/>
    <w:rsid w:val="008814FC"/>
    <w:rsid w:val="008833BE"/>
    <w:rsid w:val="008861E2"/>
    <w:rsid w:val="008924D6"/>
    <w:rsid w:val="00892FDD"/>
    <w:rsid w:val="00894999"/>
    <w:rsid w:val="008969ED"/>
    <w:rsid w:val="00897B4B"/>
    <w:rsid w:val="008A05DF"/>
    <w:rsid w:val="008A0971"/>
    <w:rsid w:val="008A1DE1"/>
    <w:rsid w:val="008A398E"/>
    <w:rsid w:val="008A3AAA"/>
    <w:rsid w:val="008A57E6"/>
    <w:rsid w:val="008A5B20"/>
    <w:rsid w:val="008A5B2A"/>
    <w:rsid w:val="008B1046"/>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89E"/>
    <w:rsid w:val="008E3346"/>
    <w:rsid w:val="008F0BBE"/>
    <w:rsid w:val="008F1DD4"/>
    <w:rsid w:val="008F2FC5"/>
    <w:rsid w:val="008F4B4A"/>
    <w:rsid w:val="009008C8"/>
    <w:rsid w:val="00900F61"/>
    <w:rsid w:val="0090257D"/>
    <w:rsid w:val="009057AB"/>
    <w:rsid w:val="00905D46"/>
    <w:rsid w:val="00906044"/>
    <w:rsid w:val="00906A8B"/>
    <w:rsid w:val="00910EB2"/>
    <w:rsid w:val="00911532"/>
    <w:rsid w:val="009119EB"/>
    <w:rsid w:val="009139DF"/>
    <w:rsid w:val="0091483D"/>
    <w:rsid w:val="00915390"/>
    <w:rsid w:val="00916639"/>
    <w:rsid w:val="009215FF"/>
    <w:rsid w:val="00922036"/>
    <w:rsid w:val="009224FB"/>
    <w:rsid w:val="009466BE"/>
    <w:rsid w:val="0094726B"/>
    <w:rsid w:val="00947C8D"/>
    <w:rsid w:val="00950B6F"/>
    <w:rsid w:val="009515B9"/>
    <w:rsid w:val="00954C03"/>
    <w:rsid w:val="009577F1"/>
    <w:rsid w:val="00960206"/>
    <w:rsid w:val="00962F11"/>
    <w:rsid w:val="009653B2"/>
    <w:rsid w:val="0096714F"/>
    <w:rsid w:val="00973F6E"/>
    <w:rsid w:val="00975B6A"/>
    <w:rsid w:val="0098080E"/>
    <w:rsid w:val="00981503"/>
    <w:rsid w:val="00984399"/>
    <w:rsid w:val="009848E5"/>
    <w:rsid w:val="00986451"/>
    <w:rsid w:val="00990DB4"/>
    <w:rsid w:val="00992676"/>
    <w:rsid w:val="009A1AF0"/>
    <w:rsid w:val="009A223E"/>
    <w:rsid w:val="009A2B2B"/>
    <w:rsid w:val="009A52BA"/>
    <w:rsid w:val="009A571C"/>
    <w:rsid w:val="009A6DD2"/>
    <w:rsid w:val="009B15E1"/>
    <w:rsid w:val="009B4E41"/>
    <w:rsid w:val="009C0E4C"/>
    <w:rsid w:val="009C1824"/>
    <w:rsid w:val="009C18A5"/>
    <w:rsid w:val="009C57FE"/>
    <w:rsid w:val="009C58FB"/>
    <w:rsid w:val="009C5F14"/>
    <w:rsid w:val="009C5F40"/>
    <w:rsid w:val="009C6D99"/>
    <w:rsid w:val="009D0355"/>
    <w:rsid w:val="009D0E25"/>
    <w:rsid w:val="009D2CFE"/>
    <w:rsid w:val="009D4358"/>
    <w:rsid w:val="009D7B5A"/>
    <w:rsid w:val="009E0470"/>
    <w:rsid w:val="009E0CF4"/>
    <w:rsid w:val="009E2A81"/>
    <w:rsid w:val="009E3960"/>
    <w:rsid w:val="009E40F1"/>
    <w:rsid w:val="009F506E"/>
    <w:rsid w:val="009F5D44"/>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D52"/>
    <w:rsid w:val="00A22EEF"/>
    <w:rsid w:val="00A23CEC"/>
    <w:rsid w:val="00A2483B"/>
    <w:rsid w:val="00A25F7F"/>
    <w:rsid w:val="00A2640D"/>
    <w:rsid w:val="00A2672C"/>
    <w:rsid w:val="00A26F7B"/>
    <w:rsid w:val="00A27736"/>
    <w:rsid w:val="00A30596"/>
    <w:rsid w:val="00A331C5"/>
    <w:rsid w:val="00A333F9"/>
    <w:rsid w:val="00A40563"/>
    <w:rsid w:val="00A4083C"/>
    <w:rsid w:val="00A41A92"/>
    <w:rsid w:val="00A45D2C"/>
    <w:rsid w:val="00A5186E"/>
    <w:rsid w:val="00A5189F"/>
    <w:rsid w:val="00A51E4F"/>
    <w:rsid w:val="00A52E57"/>
    <w:rsid w:val="00A535FA"/>
    <w:rsid w:val="00A55B92"/>
    <w:rsid w:val="00A62983"/>
    <w:rsid w:val="00A6662A"/>
    <w:rsid w:val="00A67207"/>
    <w:rsid w:val="00A7400D"/>
    <w:rsid w:val="00A76E72"/>
    <w:rsid w:val="00A8098F"/>
    <w:rsid w:val="00A81304"/>
    <w:rsid w:val="00A82957"/>
    <w:rsid w:val="00A8414C"/>
    <w:rsid w:val="00A86E75"/>
    <w:rsid w:val="00A8741A"/>
    <w:rsid w:val="00A87F18"/>
    <w:rsid w:val="00A921F9"/>
    <w:rsid w:val="00A9470C"/>
    <w:rsid w:val="00A9620B"/>
    <w:rsid w:val="00A9687B"/>
    <w:rsid w:val="00AA035B"/>
    <w:rsid w:val="00AA1783"/>
    <w:rsid w:val="00AA2E42"/>
    <w:rsid w:val="00AA4FD1"/>
    <w:rsid w:val="00AA6126"/>
    <w:rsid w:val="00AA63CA"/>
    <w:rsid w:val="00AA66B0"/>
    <w:rsid w:val="00AA68BC"/>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BBA"/>
    <w:rsid w:val="00AD2C54"/>
    <w:rsid w:val="00AD3B15"/>
    <w:rsid w:val="00AD449C"/>
    <w:rsid w:val="00AD523F"/>
    <w:rsid w:val="00AD7F71"/>
    <w:rsid w:val="00AE29B6"/>
    <w:rsid w:val="00AE42D3"/>
    <w:rsid w:val="00AF0529"/>
    <w:rsid w:val="00AF14F3"/>
    <w:rsid w:val="00AF242F"/>
    <w:rsid w:val="00AF453C"/>
    <w:rsid w:val="00B02C3B"/>
    <w:rsid w:val="00B06442"/>
    <w:rsid w:val="00B10267"/>
    <w:rsid w:val="00B107D0"/>
    <w:rsid w:val="00B10A2B"/>
    <w:rsid w:val="00B172A6"/>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91F86"/>
    <w:rsid w:val="00B956D1"/>
    <w:rsid w:val="00B96E70"/>
    <w:rsid w:val="00B97F15"/>
    <w:rsid w:val="00BA17DE"/>
    <w:rsid w:val="00BA19A5"/>
    <w:rsid w:val="00BA2F60"/>
    <w:rsid w:val="00BA360E"/>
    <w:rsid w:val="00BA652C"/>
    <w:rsid w:val="00BB3CA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64FEB"/>
    <w:rsid w:val="00C710FE"/>
    <w:rsid w:val="00C72CA5"/>
    <w:rsid w:val="00C73690"/>
    <w:rsid w:val="00C73DD6"/>
    <w:rsid w:val="00C74656"/>
    <w:rsid w:val="00C74964"/>
    <w:rsid w:val="00C758AE"/>
    <w:rsid w:val="00C826F4"/>
    <w:rsid w:val="00C82F5A"/>
    <w:rsid w:val="00C841FE"/>
    <w:rsid w:val="00C91953"/>
    <w:rsid w:val="00C933EF"/>
    <w:rsid w:val="00C94B2A"/>
    <w:rsid w:val="00CA0232"/>
    <w:rsid w:val="00CA31D9"/>
    <w:rsid w:val="00CA32A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1877"/>
    <w:rsid w:val="00CE2629"/>
    <w:rsid w:val="00CE3F47"/>
    <w:rsid w:val="00CE4D42"/>
    <w:rsid w:val="00CE6015"/>
    <w:rsid w:val="00CE719F"/>
    <w:rsid w:val="00CF0771"/>
    <w:rsid w:val="00CF1495"/>
    <w:rsid w:val="00CF35AA"/>
    <w:rsid w:val="00CF42F6"/>
    <w:rsid w:val="00CF4ADD"/>
    <w:rsid w:val="00CF524C"/>
    <w:rsid w:val="00CF58DE"/>
    <w:rsid w:val="00CF715B"/>
    <w:rsid w:val="00D00D1B"/>
    <w:rsid w:val="00D02E51"/>
    <w:rsid w:val="00D035B5"/>
    <w:rsid w:val="00D035E0"/>
    <w:rsid w:val="00D041AC"/>
    <w:rsid w:val="00D052DC"/>
    <w:rsid w:val="00D11110"/>
    <w:rsid w:val="00D11AC4"/>
    <w:rsid w:val="00D12D05"/>
    <w:rsid w:val="00D16717"/>
    <w:rsid w:val="00D169F5"/>
    <w:rsid w:val="00D174BC"/>
    <w:rsid w:val="00D178AD"/>
    <w:rsid w:val="00D2127F"/>
    <w:rsid w:val="00D212EE"/>
    <w:rsid w:val="00D221C6"/>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4CA5"/>
    <w:rsid w:val="00D964DA"/>
    <w:rsid w:val="00DA160E"/>
    <w:rsid w:val="00DA1EA5"/>
    <w:rsid w:val="00DA3B36"/>
    <w:rsid w:val="00DA4EFC"/>
    <w:rsid w:val="00DA54EB"/>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D9B"/>
    <w:rsid w:val="00DE61A0"/>
    <w:rsid w:val="00DF2BB5"/>
    <w:rsid w:val="00DF3224"/>
    <w:rsid w:val="00DF37FC"/>
    <w:rsid w:val="00DF3B47"/>
    <w:rsid w:val="00DF3C5A"/>
    <w:rsid w:val="00DF4088"/>
    <w:rsid w:val="00DF498E"/>
    <w:rsid w:val="00DF4A02"/>
    <w:rsid w:val="00DF571A"/>
    <w:rsid w:val="00DF628D"/>
    <w:rsid w:val="00DF692D"/>
    <w:rsid w:val="00E0047A"/>
    <w:rsid w:val="00E00EF3"/>
    <w:rsid w:val="00E025A4"/>
    <w:rsid w:val="00E04EC8"/>
    <w:rsid w:val="00E074F0"/>
    <w:rsid w:val="00E112FE"/>
    <w:rsid w:val="00E118E2"/>
    <w:rsid w:val="00E15875"/>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56B0"/>
    <w:rsid w:val="00E55FCB"/>
    <w:rsid w:val="00E570CD"/>
    <w:rsid w:val="00E577B8"/>
    <w:rsid w:val="00E57ECA"/>
    <w:rsid w:val="00E60392"/>
    <w:rsid w:val="00E60507"/>
    <w:rsid w:val="00E639CF"/>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4A40"/>
    <w:rsid w:val="00EA682B"/>
    <w:rsid w:val="00EB06A6"/>
    <w:rsid w:val="00EB1896"/>
    <w:rsid w:val="00EB1BA1"/>
    <w:rsid w:val="00EB2D9F"/>
    <w:rsid w:val="00EB2EA6"/>
    <w:rsid w:val="00EB36EA"/>
    <w:rsid w:val="00EB563A"/>
    <w:rsid w:val="00EB5EDA"/>
    <w:rsid w:val="00EB681B"/>
    <w:rsid w:val="00EB7C1E"/>
    <w:rsid w:val="00EC000A"/>
    <w:rsid w:val="00EC47A8"/>
    <w:rsid w:val="00EC4CEE"/>
    <w:rsid w:val="00EC5185"/>
    <w:rsid w:val="00EC626B"/>
    <w:rsid w:val="00EC691D"/>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10AAE"/>
    <w:rsid w:val="00F10BB8"/>
    <w:rsid w:val="00F12D40"/>
    <w:rsid w:val="00F14727"/>
    <w:rsid w:val="00F14C7D"/>
    <w:rsid w:val="00F16480"/>
    <w:rsid w:val="00F173BC"/>
    <w:rsid w:val="00F207E2"/>
    <w:rsid w:val="00F21E91"/>
    <w:rsid w:val="00F25F13"/>
    <w:rsid w:val="00F30D12"/>
    <w:rsid w:val="00F33B46"/>
    <w:rsid w:val="00F3589A"/>
    <w:rsid w:val="00F35B15"/>
    <w:rsid w:val="00F36B86"/>
    <w:rsid w:val="00F375EB"/>
    <w:rsid w:val="00F404A5"/>
    <w:rsid w:val="00F41480"/>
    <w:rsid w:val="00F4234B"/>
    <w:rsid w:val="00F42516"/>
    <w:rsid w:val="00F44CCA"/>
    <w:rsid w:val="00F46D72"/>
    <w:rsid w:val="00F51975"/>
    <w:rsid w:val="00F51B2A"/>
    <w:rsid w:val="00F55862"/>
    <w:rsid w:val="00F5610C"/>
    <w:rsid w:val="00F5646F"/>
    <w:rsid w:val="00F61AAE"/>
    <w:rsid w:val="00F620B8"/>
    <w:rsid w:val="00F62DAD"/>
    <w:rsid w:val="00F66B6E"/>
    <w:rsid w:val="00F70D77"/>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FF6BB6A"/>
  <w15:docId w15:val="{164D3E86-31FB-4A73-9CC5-5CE58BA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69E9-2465-4E74-8C05-79A14773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11</Pages>
  <Words>3864</Words>
  <Characters>21253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532</cp:revision>
  <cp:lastPrinted>2018-03-14T21:28:00Z</cp:lastPrinted>
  <dcterms:created xsi:type="dcterms:W3CDTF">2016-06-06T18:19:00Z</dcterms:created>
  <dcterms:modified xsi:type="dcterms:W3CDTF">2018-11-29T18:38:00Z</dcterms:modified>
</cp:coreProperties>
</file>