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B5" w:rsidRPr="00144DAE" w:rsidRDefault="008665B5" w:rsidP="008665B5">
      <w:pPr>
        <w:pStyle w:val="corte4fondo"/>
        <w:tabs>
          <w:tab w:val="left" w:pos="-142"/>
        </w:tabs>
        <w:spacing w:line="276" w:lineRule="auto"/>
        <w:ind w:left="4536" w:right="-284" w:firstLine="0"/>
        <w:rPr>
          <w:rFonts w:cs="Arial"/>
          <w:b/>
          <w:sz w:val="24"/>
          <w:szCs w:val="24"/>
        </w:rPr>
      </w:pPr>
      <w:r w:rsidRPr="00144DAE">
        <w:rPr>
          <w:rFonts w:cs="Arial"/>
          <w:b/>
          <w:sz w:val="24"/>
          <w:szCs w:val="24"/>
        </w:rPr>
        <w:t>SEGUNDA SALA UNITARIA DE PRIMERA INSTANCIA DEL TRIBUNAL DE JUSTICIA ADMINISTRATIVA DEL ESTADO DE OAXACA.</w:t>
      </w:r>
    </w:p>
    <w:p w:rsidR="008665B5" w:rsidRPr="00144DAE" w:rsidRDefault="008665B5" w:rsidP="008665B5">
      <w:pPr>
        <w:pStyle w:val="corte4fondo"/>
        <w:tabs>
          <w:tab w:val="left" w:pos="-142"/>
        </w:tabs>
        <w:spacing w:line="276" w:lineRule="auto"/>
        <w:ind w:left="4536" w:right="-284" w:firstLine="0"/>
        <w:rPr>
          <w:rFonts w:cs="Arial"/>
          <w:b/>
          <w:sz w:val="24"/>
          <w:szCs w:val="24"/>
        </w:rPr>
      </w:pPr>
    </w:p>
    <w:p w:rsidR="008665B5" w:rsidRPr="00144DAE" w:rsidRDefault="008665B5" w:rsidP="008665B5">
      <w:pPr>
        <w:pStyle w:val="corte4fondo"/>
        <w:tabs>
          <w:tab w:val="left" w:pos="-142"/>
        </w:tabs>
        <w:spacing w:line="276" w:lineRule="auto"/>
        <w:ind w:left="4536" w:right="-284" w:firstLine="0"/>
        <w:rPr>
          <w:rFonts w:cs="Arial"/>
          <w:sz w:val="24"/>
          <w:szCs w:val="24"/>
        </w:rPr>
      </w:pPr>
      <w:r w:rsidRPr="00144DAE">
        <w:rPr>
          <w:rFonts w:cs="Arial"/>
          <w:b/>
          <w:sz w:val="24"/>
          <w:szCs w:val="24"/>
        </w:rPr>
        <w:t xml:space="preserve">JUICIO DE NULIDAD: </w:t>
      </w:r>
      <w:r w:rsidRPr="00144DAE">
        <w:rPr>
          <w:rFonts w:cs="Arial"/>
          <w:sz w:val="24"/>
          <w:szCs w:val="24"/>
        </w:rPr>
        <w:t>126/2017.</w:t>
      </w:r>
    </w:p>
    <w:p w:rsidR="008665B5" w:rsidRPr="00144DAE" w:rsidRDefault="008665B5" w:rsidP="008665B5">
      <w:pPr>
        <w:pStyle w:val="corte4fondo"/>
        <w:tabs>
          <w:tab w:val="left" w:pos="-142"/>
        </w:tabs>
        <w:spacing w:line="276" w:lineRule="auto"/>
        <w:ind w:left="4536" w:right="-284" w:firstLine="0"/>
        <w:rPr>
          <w:rFonts w:cs="Arial"/>
          <w:b/>
          <w:sz w:val="24"/>
          <w:szCs w:val="24"/>
        </w:rPr>
      </w:pPr>
    </w:p>
    <w:p w:rsidR="008665B5" w:rsidRPr="00144DAE" w:rsidRDefault="008665B5" w:rsidP="008665B5">
      <w:pPr>
        <w:pStyle w:val="corte4fondo"/>
        <w:tabs>
          <w:tab w:val="left" w:pos="-142"/>
        </w:tabs>
        <w:spacing w:line="276" w:lineRule="auto"/>
        <w:ind w:left="4536" w:right="-284" w:firstLine="0"/>
        <w:rPr>
          <w:rFonts w:cs="Arial"/>
          <w:sz w:val="24"/>
          <w:szCs w:val="24"/>
        </w:rPr>
      </w:pPr>
      <w:r w:rsidRPr="00144DAE">
        <w:rPr>
          <w:rFonts w:cs="Arial"/>
          <w:b/>
          <w:sz w:val="24"/>
          <w:szCs w:val="24"/>
        </w:rPr>
        <w:t xml:space="preserve">ACTOR: </w:t>
      </w:r>
      <w:r>
        <w:rPr>
          <w:rFonts w:cs="Arial"/>
          <w:sz w:val="24"/>
          <w:szCs w:val="24"/>
        </w:rPr>
        <w:t>**********</w:t>
      </w:r>
      <w:r w:rsidRPr="00144DAE">
        <w:rPr>
          <w:rFonts w:cs="Arial"/>
          <w:sz w:val="24"/>
          <w:szCs w:val="24"/>
        </w:rPr>
        <w:t xml:space="preserve">.  </w:t>
      </w:r>
    </w:p>
    <w:p w:rsidR="008665B5" w:rsidRPr="00144DAE" w:rsidRDefault="008665B5" w:rsidP="008665B5">
      <w:pPr>
        <w:pStyle w:val="corte4fondo"/>
        <w:tabs>
          <w:tab w:val="left" w:pos="-142"/>
        </w:tabs>
        <w:spacing w:line="276" w:lineRule="auto"/>
        <w:ind w:left="4536" w:right="-284" w:firstLine="0"/>
        <w:rPr>
          <w:rFonts w:cs="Arial"/>
          <w:sz w:val="24"/>
          <w:szCs w:val="24"/>
        </w:rPr>
      </w:pPr>
      <w:r w:rsidRPr="00144DAE">
        <w:rPr>
          <w:rFonts w:cs="Arial"/>
          <w:sz w:val="24"/>
          <w:szCs w:val="24"/>
        </w:rPr>
        <w:t xml:space="preserve"> </w:t>
      </w:r>
    </w:p>
    <w:p w:rsidR="008665B5" w:rsidRPr="00144DAE" w:rsidRDefault="008665B5" w:rsidP="008665B5">
      <w:pPr>
        <w:pStyle w:val="corte4fondo"/>
        <w:tabs>
          <w:tab w:val="left" w:pos="-142"/>
        </w:tabs>
        <w:spacing w:line="276" w:lineRule="auto"/>
        <w:ind w:left="4536" w:right="-284" w:firstLine="0"/>
        <w:rPr>
          <w:rFonts w:cs="Arial"/>
          <w:sz w:val="24"/>
          <w:szCs w:val="24"/>
        </w:rPr>
      </w:pPr>
      <w:r w:rsidRPr="00144DAE">
        <w:rPr>
          <w:rFonts w:cs="Arial"/>
          <w:b/>
          <w:sz w:val="24"/>
          <w:szCs w:val="24"/>
        </w:rPr>
        <w:t xml:space="preserve">AUTORIDAD DEMANDADA: </w:t>
      </w:r>
      <w:r w:rsidRPr="00144DAE">
        <w:rPr>
          <w:rFonts w:cs="Arial"/>
          <w:sz w:val="24"/>
          <w:szCs w:val="24"/>
        </w:rPr>
        <w:t>DIRECTORA DE INGRESOS Y RECAUDACIÓN DE LA SECRETARÍA DE FINANZAS DEL GOBIERNO  ESTADO DE OAXACA.</w:t>
      </w:r>
    </w:p>
    <w:p w:rsidR="008665B5" w:rsidRPr="00144DAE" w:rsidRDefault="008665B5" w:rsidP="008665B5">
      <w:pPr>
        <w:pStyle w:val="corte4fondo"/>
        <w:tabs>
          <w:tab w:val="left" w:pos="-142"/>
        </w:tabs>
        <w:spacing w:line="276" w:lineRule="auto"/>
        <w:ind w:right="-284" w:firstLine="0"/>
        <w:rPr>
          <w:rFonts w:cs="Arial"/>
          <w:sz w:val="24"/>
          <w:szCs w:val="24"/>
        </w:rPr>
      </w:pPr>
    </w:p>
    <w:p w:rsidR="008665B5" w:rsidRPr="00144DAE" w:rsidRDefault="008665B5" w:rsidP="008665B5">
      <w:pPr>
        <w:tabs>
          <w:tab w:val="left" w:pos="-142"/>
        </w:tabs>
        <w:ind w:right="-284"/>
        <w:rPr>
          <w:rFonts w:ascii="Arial" w:hAnsi="Arial" w:cs="Arial"/>
          <w:color w:val="FF0000"/>
          <w:sz w:val="18"/>
          <w:szCs w:val="24"/>
        </w:rPr>
      </w:pPr>
    </w:p>
    <w:p w:rsidR="008665B5" w:rsidRPr="00144DAE" w:rsidRDefault="008665B5" w:rsidP="008665B5">
      <w:pPr>
        <w:pStyle w:val="Textoindependiente21"/>
        <w:tabs>
          <w:tab w:val="left" w:pos="-142"/>
        </w:tabs>
        <w:spacing w:line="360" w:lineRule="auto"/>
        <w:ind w:right="-284" w:firstLine="851"/>
        <w:rPr>
          <w:rFonts w:ascii="Arial" w:hAnsi="Arial" w:cs="Arial"/>
          <w:szCs w:val="24"/>
        </w:rPr>
      </w:pPr>
      <w:r w:rsidRPr="00144DAE">
        <w:rPr>
          <w:rFonts w:ascii="Arial" w:hAnsi="Arial" w:cs="Arial"/>
          <w:b/>
          <w:szCs w:val="24"/>
        </w:rPr>
        <w:t>OAXACA DE JUÁREZ, OAXACA, A OCHO DE OCTUBRE DE DOS MIL DIECINUEVE.</w:t>
      </w:r>
      <w:r w:rsidRPr="00144DAE">
        <w:rPr>
          <w:rFonts w:ascii="Arial" w:hAnsi="Arial" w:cs="Arial"/>
          <w:szCs w:val="24"/>
        </w:rPr>
        <w:t xml:space="preserve"> </w:t>
      </w:r>
    </w:p>
    <w:p w:rsidR="008665B5" w:rsidRPr="00144DAE" w:rsidRDefault="008665B5" w:rsidP="008665B5">
      <w:pPr>
        <w:pStyle w:val="corte4fondo"/>
        <w:tabs>
          <w:tab w:val="left" w:pos="-142"/>
        </w:tabs>
        <w:ind w:right="-284" w:firstLine="851"/>
        <w:rPr>
          <w:rFonts w:cs="Arial"/>
          <w:b/>
          <w:sz w:val="24"/>
          <w:szCs w:val="24"/>
          <w:lang w:val="es-ES"/>
        </w:rPr>
      </w:pPr>
    </w:p>
    <w:p w:rsidR="008665B5" w:rsidRPr="00144DAE" w:rsidRDefault="008665B5" w:rsidP="008665B5">
      <w:pPr>
        <w:pStyle w:val="Textoindependiente21"/>
        <w:tabs>
          <w:tab w:val="left" w:pos="-142"/>
        </w:tabs>
        <w:spacing w:line="360" w:lineRule="auto"/>
        <w:ind w:right="-284" w:firstLine="851"/>
        <w:rPr>
          <w:rFonts w:ascii="Arial" w:hAnsi="Arial" w:cs="Arial"/>
          <w:szCs w:val="24"/>
        </w:rPr>
      </w:pPr>
      <w:r w:rsidRPr="00144DAE">
        <w:rPr>
          <w:rFonts w:ascii="Arial" w:hAnsi="Arial" w:cs="Arial"/>
          <w:b/>
          <w:szCs w:val="24"/>
        </w:rPr>
        <w:t xml:space="preserve">V I S T O S, </w:t>
      </w:r>
      <w:r w:rsidRPr="00144DAE">
        <w:rPr>
          <w:rFonts w:ascii="Arial" w:hAnsi="Arial" w:cs="Arial"/>
          <w:szCs w:val="24"/>
        </w:rPr>
        <w:t xml:space="preserve">para resolver los autos del juicio de nulidad 126/2017, promovido por </w:t>
      </w:r>
      <w:r>
        <w:rPr>
          <w:rFonts w:ascii="Arial" w:hAnsi="Arial" w:cs="Arial"/>
          <w:b/>
          <w:szCs w:val="24"/>
        </w:rPr>
        <w:t>**********</w:t>
      </w:r>
      <w:proofErr w:type="gramStart"/>
      <w:r w:rsidRPr="00144DAE">
        <w:rPr>
          <w:rFonts w:ascii="Arial" w:hAnsi="Arial" w:cs="Arial"/>
          <w:b/>
          <w:szCs w:val="24"/>
        </w:rPr>
        <w:t>.,</w:t>
      </w:r>
      <w:proofErr w:type="gramEnd"/>
      <w:r w:rsidRPr="00144DAE">
        <w:rPr>
          <w:rFonts w:ascii="Arial" w:hAnsi="Arial" w:cs="Arial"/>
          <w:szCs w:val="24"/>
        </w:rPr>
        <w:t xml:space="preserve"> en contra de la </w:t>
      </w:r>
      <w:r w:rsidRPr="00144DAE">
        <w:rPr>
          <w:rFonts w:ascii="Arial" w:hAnsi="Arial" w:cs="Arial"/>
          <w:b/>
          <w:szCs w:val="24"/>
        </w:rPr>
        <w:t>DIRECTORA DE INGRESOS Y RECAUDACIÓN DE LA SECRETARÍA DE FINANZAS DEL GOBIERNO DEL ESTADO DE OAXACA,</w:t>
      </w:r>
      <w:r w:rsidRPr="00144DAE">
        <w:rPr>
          <w:rFonts w:ascii="Arial" w:hAnsi="Arial" w:cs="Arial"/>
          <w:szCs w:val="24"/>
        </w:rPr>
        <w:t xml:space="preserve"> y</w:t>
      </w:r>
    </w:p>
    <w:p w:rsidR="008665B5" w:rsidRPr="00144DAE" w:rsidRDefault="008665B5" w:rsidP="008665B5">
      <w:pPr>
        <w:pStyle w:val="corte4fondo"/>
        <w:tabs>
          <w:tab w:val="left" w:pos="-142"/>
        </w:tabs>
        <w:ind w:right="-284" w:firstLine="851"/>
        <w:rPr>
          <w:rFonts w:cs="Arial"/>
          <w:b/>
          <w:sz w:val="24"/>
          <w:szCs w:val="24"/>
        </w:rPr>
      </w:pPr>
    </w:p>
    <w:p w:rsidR="008665B5" w:rsidRPr="00144DAE" w:rsidRDefault="008665B5" w:rsidP="008665B5">
      <w:pPr>
        <w:pStyle w:val="Textoindependiente21"/>
        <w:tabs>
          <w:tab w:val="left" w:pos="-142"/>
        </w:tabs>
        <w:spacing w:line="360" w:lineRule="auto"/>
        <w:ind w:right="-284" w:firstLine="851"/>
        <w:rPr>
          <w:rFonts w:ascii="Arial" w:hAnsi="Arial" w:cs="Arial"/>
          <w:b/>
          <w:szCs w:val="24"/>
        </w:rPr>
      </w:pPr>
      <w:r w:rsidRPr="00144DAE">
        <w:rPr>
          <w:rFonts w:ascii="Arial" w:hAnsi="Arial" w:cs="Arial"/>
          <w:b/>
          <w:szCs w:val="24"/>
          <w:lang w:val="es-ES_tradnl"/>
        </w:rPr>
        <w:t xml:space="preserve">                                          </w:t>
      </w:r>
      <w:r w:rsidRPr="00144DAE">
        <w:rPr>
          <w:rFonts w:ascii="Arial" w:hAnsi="Arial" w:cs="Arial"/>
          <w:b/>
          <w:szCs w:val="24"/>
        </w:rPr>
        <w:t xml:space="preserve">     R E S U L T A N D O:</w:t>
      </w:r>
    </w:p>
    <w:p w:rsidR="008665B5" w:rsidRPr="00144DAE" w:rsidRDefault="008665B5" w:rsidP="008665B5">
      <w:pPr>
        <w:tabs>
          <w:tab w:val="left" w:pos="-142"/>
        </w:tabs>
        <w:spacing w:line="360" w:lineRule="auto"/>
        <w:ind w:right="-284" w:firstLine="851"/>
        <w:jc w:val="both"/>
        <w:rPr>
          <w:rFonts w:ascii="Arial" w:hAnsi="Arial" w:cs="Arial"/>
          <w:b/>
          <w:bCs/>
          <w:sz w:val="24"/>
          <w:szCs w:val="24"/>
        </w:rPr>
      </w:pPr>
    </w:p>
    <w:p w:rsidR="008665B5" w:rsidRPr="00144DAE" w:rsidRDefault="008665B5" w:rsidP="008665B5">
      <w:pPr>
        <w:pStyle w:val="Textoindependiente21"/>
        <w:tabs>
          <w:tab w:val="left" w:pos="-142"/>
        </w:tabs>
        <w:spacing w:line="360" w:lineRule="auto"/>
        <w:ind w:right="-284" w:firstLine="851"/>
        <w:rPr>
          <w:rFonts w:ascii="Arial" w:hAnsi="Arial" w:cs="Arial"/>
          <w:szCs w:val="24"/>
        </w:rPr>
      </w:pPr>
      <w:r w:rsidRPr="00144DAE">
        <w:rPr>
          <w:rFonts w:ascii="Arial" w:hAnsi="Arial" w:cs="Arial"/>
          <w:b/>
          <w:bCs/>
          <w:szCs w:val="24"/>
        </w:rPr>
        <w:t>PRIMERO.</w:t>
      </w:r>
      <w:r w:rsidRPr="00144DAE">
        <w:rPr>
          <w:rFonts w:ascii="Arial" w:hAnsi="Arial" w:cs="Arial"/>
          <w:b/>
          <w:szCs w:val="24"/>
        </w:rPr>
        <w:t xml:space="preserve"> Datos de la demanda. </w:t>
      </w:r>
      <w:r w:rsidRPr="00144DAE">
        <w:rPr>
          <w:rFonts w:ascii="Arial" w:hAnsi="Arial" w:cs="Arial"/>
          <w:szCs w:val="24"/>
        </w:rPr>
        <w:t xml:space="preserve">Mediante acuerdo de trece de diciembre de dos mil diecisiete, la Magistrada de la Primera Ponencia de la Sala Regional del Sureste de Oaxaca, remitió el expediente </w:t>
      </w:r>
      <w:r>
        <w:rPr>
          <w:rFonts w:ascii="Arial" w:hAnsi="Arial" w:cs="Arial"/>
          <w:szCs w:val="24"/>
        </w:rPr>
        <w:t>**********</w:t>
      </w:r>
      <w:r w:rsidRPr="00144DAE">
        <w:rPr>
          <w:rFonts w:ascii="Arial" w:hAnsi="Arial" w:cs="Arial"/>
          <w:szCs w:val="24"/>
        </w:rPr>
        <w:t xml:space="preserve">, de su índice, al entonces Tribunal Contencioso Administrativo del Estado, al desecharse por improcedente la demanda promovida </w:t>
      </w:r>
      <w:r>
        <w:rPr>
          <w:rFonts w:ascii="Arial" w:hAnsi="Arial" w:cs="Arial"/>
          <w:szCs w:val="24"/>
        </w:rPr>
        <w:t xml:space="preserve">por </w:t>
      </w:r>
      <w:r>
        <w:rPr>
          <w:rFonts w:ascii="Arial" w:hAnsi="Arial" w:cs="Arial"/>
          <w:szCs w:val="24"/>
        </w:rPr>
        <w:t>**********</w:t>
      </w:r>
      <w:r w:rsidRPr="00144DAE">
        <w:rPr>
          <w:rFonts w:ascii="Arial" w:hAnsi="Arial" w:cs="Arial"/>
          <w:szCs w:val="24"/>
        </w:rPr>
        <w:t xml:space="preserve">., en razón de lo anterior la entonces Segunda Sala Unitaria de Primera Instancia del Tribunal de lo Contencioso Administrativo y de Cuentas del Poder Judicial del Estado, acepto la competencia declinada, por lo que se le requirió al </w:t>
      </w:r>
      <w:proofErr w:type="spellStart"/>
      <w:r w:rsidRPr="00144DAE">
        <w:rPr>
          <w:rFonts w:ascii="Arial" w:hAnsi="Arial" w:cs="Arial"/>
          <w:szCs w:val="24"/>
        </w:rPr>
        <w:t>promovente</w:t>
      </w:r>
      <w:proofErr w:type="spellEnd"/>
      <w:r w:rsidRPr="00144DAE">
        <w:rPr>
          <w:rFonts w:ascii="Arial" w:hAnsi="Arial" w:cs="Arial"/>
          <w:szCs w:val="24"/>
        </w:rPr>
        <w:t xml:space="preserve"> para que justificara su personalidad.</w:t>
      </w:r>
    </w:p>
    <w:p w:rsidR="008665B5" w:rsidRPr="00144DAE" w:rsidRDefault="008665B5" w:rsidP="008665B5">
      <w:pPr>
        <w:pStyle w:val="Textoindependiente21"/>
        <w:tabs>
          <w:tab w:val="left" w:pos="-142"/>
        </w:tabs>
        <w:spacing w:line="360" w:lineRule="auto"/>
        <w:ind w:right="-284" w:firstLine="851"/>
        <w:rPr>
          <w:rFonts w:ascii="Arial" w:hAnsi="Arial" w:cs="Arial"/>
          <w:sz w:val="18"/>
          <w:szCs w:val="24"/>
        </w:rPr>
      </w:pPr>
    </w:p>
    <w:p w:rsidR="008665B5" w:rsidRPr="00144DAE" w:rsidRDefault="008665B5" w:rsidP="008665B5">
      <w:pPr>
        <w:pStyle w:val="Textoindependiente21"/>
        <w:tabs>
          <w:tab w:val="left" w:pos="-142"/>
        </w:tabs>
        <w:spacing w:line="360" w:lineRule="auto"/>
        <w:ind w:right="-284" w:firstLine="851"/>
        <w:rPr>
          <w:rFonts w:ascii="Arial" w:hAnsi="Arial" w:cs="Arial"/>
          <w:szCs w:val="24"/>
        </w:rPr>
      </w:pPr>
      <w:r w:rsidRPr="00144DAE">
        <w:rPr>
          <w:rFonts w:ascii="Arial" w:hAnsi="Arial" w:cs="Arial"/>
          <w:b/>
          <w:color w:val="000000"/>
          <w:szCs w:val="24"/>
        </w:rPr>
        <w:t>SEGUNDO.</w:t>
      </w:r>
      <w:r w:rsidRPr="00144DAE">
        <w:rPr>
          <w:rFonts w:ascii="Arial" w:hAnsi="Arial" w:cs="Arial"/>
          <w:color w:val="000000"/>
          <w:szCs w:val="24"/>
        </w:rPr>
        <w:t xml:space="preserve"> Mediante proveído de veintinueve de enero de dos mil dieciocho, se tuvo al actor </w:t>
      </w:r>
      <w:r>
        <w:rPr>
          <w:rFonts w:ascii="Arial" w:hAnsi="Arial" w:cs="Arial"/>
          <w:szCs w:val="24"/>
        </w:rPr>
        <w:t>**********</w:t>
      </w:r>
      <w:r w:rsidRPr="00144DAE">
        <w:rPr>
          <w:rFonts w:ascii="Arial" w:hAnsi="Arial" w:cs="Arial"/>
          <w:szCs w:val="24"/>
        </w:rPr>
        <w:t>., cumpliendo</w:t>
      </w:r>
      <w:r>
        <w:rPr>
          <w:rFonts w:ascii="Arial" w:hAnsi="Arial" w:cs="Arial"/>
          <w:szCs w:val="24"/>
        </w:rPr>
        <w:t xml:space="preserve"> con el requerimiento efectuado y por</w:t>
      </w:r>
      <w:r w:rsidRPr="00144DAE">
        <w:rPr>
          <w:rFonts w:ascii="Arial" w:hAnsi="Arial" w:cs="Arial"/>
          <w:szCs w:val="24"/>
        </w:rPr>
        <w:t xml:space="preserve"> demandando</w:t>
      </w:r>
      <w:r>
        <w:rPr>
          <w:rFonts w:ascii="Arial" w:hAnsi="Arial" w:cs="Arial"/>
          <w:szCs w:val="24"/>
        </w:rPr>
        <w:t xml:space="preserve"> la</w:t>
      </w:r>
      <w:r w:rsidRPr="00144DAE">
        <w:rPr>
          <w:rFonts w:ascii="Arial" w:hAnsi="Arial" w:cs="Arial"/>
          <w:szCs w:val="24"/>
        </w:rPr>
        <w:t xml:space="preserve"> </w:t>
      </w:r>
      <w:r w:rsidRPr="00144DAE">
        <w:rPr>
          <w:rFonts w:ascii="Arial" w:hAnsi="Arial" w:cs="Arial"/>
          <w:color w:val="000000"/>
          <w:szCs w:val="24"/>
        </w:rPr>
        <w:t xml:space="preserve">nulidad del oficio </w:t>
      </w:r>
      <w:r w:rsidRPr="00144DAE">
        <w:rPr>
          <w:rFonts w:ascii="Arial" w:hAnsi="Arial" w:cs="Arial"/>
          <w:szCs w:val="24"/>
        </w:rPr>
        <w:t xml:space="preserve">con número de control </w:t>
      </w:r>
      <w:r>
        <w:rPr>
          <w:rFonts w:ascii="Arial" w:hAnsi="Arial" w:cs="Arial"/>
          <w:szCs w:val="24"/>
        </w:rPr>
        <w:t>**********</w:t>
      </w:r>
      <w:r w:rsidRPr="00144DAE">
        <w:rPr>
          <w:rFonts w:ascii="Arial" w:hAnsi="Arial" w:cs="Arial"/>
          <w:szCs w:val="24"/>
        </w:rPr>
        <w:t>, de fecha ocho d</w:t>
      </w:r>
      <w:r>
        <w:rPr>
          <w:rFonts w:ascii="Arial" w:hAnsi="Arial" w:cs="Arial"/>
          <w:szCs w:val="24"/>
        </w:rPr>
        <w:t>e agosto de dos mil diecisiete, ordenándose</w:t>
      </w:r>
      <w:r w:rsidRPr="00144DAE">
        <w:rPr>
          <w:rFonts w:ascii="Arial" w:hAnsi="Arial" w:cs="Arial"/>
          <w:szCs w:val="24"/>
        </w:rPr>
        <w:t xml:space="preserve"> notificar, emplazar y correr traslado a la autoridad demandada Directora de Ingresos y Recaudación de la Secretaría de Finanzas del Gobierno del Estado, </w:t>
      </w:r>
      <w:r w:rsidRPr="00144DAE">
        <w:rPr>
          <w:rFonts w:ascii="Arial" w:hAnsi="Arial" w:cs="Arial"/>
          <w:color w:val="000000"/>
          <w:szCs w:val="24"/>
        </w:rPr>
        <w:t xml:space="preserve">para que produjera su contestación en el término previsto en la ley, </w:t>
      </w:r>
      <w:r w:rsidRPr="00144DAE">
        <w:rPr>
          <w:rFonts w:ascii="Arial" w:hAnsi="Arial" w:cs="Arial"/>
          <w:szCs w:val="24"/>
        </w:rPr>
        <w:t xml:space="preserve">así también fueron admitidas las pruebas que ofreció.  </w:t>
      </w:r>
    </w:p>
    <w:p w:rsidR="008665B5" w:rsidRPr="00144DAE" w:rsidRDefault="008665B5" w:rsidP="008665B5">
      <w:pPr>
        <w:tabs>
          <w:tab w:val="left" w:pos="-142"/>
        </w:tabs>
        <w:spacing w:line="360" w:lineRule="auto"/>
        <w:ind w:right="-284" w:firstLine="851"/>
        <w:jc w:val="both"/>
        <w:rPr>
          <w:rFonts w:ascii="Arial" w:hAnsi="Arial" w:cs="Arial"/>
          <w:b/>
          <w:sz w:val="16"/>
          <w:szCs w:val="24"/>
        </w:rPr>
      </w:pPr>
      <w:r w:rsidRPr="00144DAE">
        <w:rPr>
          <w:rFonts w:ascii="Arial" w:hAnsi="Arial" w:cs="Arial"/>
          <w:b/>
          <w:sz w:val="24"/>
          <w:szCs w:val="24"/>
        </w:rPr>
        <w:lastRenderedPageBreak/>
        <w:t xml:space="preserve">      </w:t>
      </w:r>
    </w:p>
    <w:p w:rsidR="008665B5" w:rsidRPr="00144DAE" w:rsidRDefault="008665B5" w:rsidP="008665B5">
      <w:pPr>
        <w:tabs>
          <w:tab w:val="left" w:pos="-142"/>
        </w:tabs>
        <w:spacing w:line="360" w:lineRule="auto"/>
        <w:ind w:right="-284" w:firstLine="851"/>
        <w:jc w:val="both"/>
        <w:rPr>
          <w:rFonts w:ascii="Arial" w:hAnsi="Arial" w:cs="Arial"/>
          <w:sz w:val="24"/>
          <w:szCs w:val="24"/>
        </w:rPr>
      </w:pPr>
      <w:r w:rsidRPr="00144DAE">
        <w:rPr>
          <w:rFonts w:ascii="Arial" w:hAnsi="Arial" w:cs="Arial"/>
          <w:b/>
          <w:bCs/>
          <w:sz w:val="24"/>
          <w:szCs w:val="24"/>
        </w:rPr>
        <w:t xml:space="preserve">TERCERO. </w:t>
      </w:r>
      <w:r w:rsidRPr="00144DAE">
        <w:rPr>
          <w:rFonts w:ascii="Arial" w:hAnsi="Arial" w:cs="Arial"/>
          <w:sz w:val="24"/>
          <w:szCs w:val="24"/>
        </w:rPr>
        <w:t>Por auto de doce de junio de dos mil dieciocho, se tuvo a la Directora de lo Contencioso de la Secretaría de Finanzas del Poder Ejecutivo del Estado, en representación jurídica de la defensa legal de la autoridad demanda, contestando la demanda en tiempo y forma, en cuanto a las pruebas se tuvieron por admitidas las que se ofrecen; asimismo, se señaló fecha y hora para la celebración de la audiencia final, la cual no se</w:t>
      </w:r>
      <w:r>
        <w:rPr>
          <w:rFonts w:ascii="Arial" w:hAnsi="Arial" w:cs="Arial"/>
          <w:sz w:val="24"/>
          <w:szCs w:val="24"/>
        </w:rPr>
        <w:t xml:space="preserve"> llevó a cabo y mediante</w:t>
      </w:r>
      <w:r w:rsidRPr="00144DAE">
        <w:rPr>
          <w:rFonts w:ascii="Arial" w:hAnsi="Arial" w:cs="Arial"/>
          <w:sz w:val="24"/>
          <w:szCs w:val="24"/>
        </w:rPr>
        <w:t xml:space="preserve"> proveído </w:t>
      </w:r>
      <w:r>
        <w:rPr>
          <w:rFonts w:ascii="Arial" w:hAnsi="Arial" w:cs="Arial"/>
          <w:sz w:val="24"/>
          <w:szCs w:val="24"/>
        </w:rPr>
        <w:t xml:space="preserve">de cinco de julio de dos mil dieciocho, </w:t>
      </w:r>
      <w:r w:rsidRPr="00144DAE">
        <w:rPr>
          <w:rFonts w:ascii="Arial" w:hAnsi="Arial" w:cs="Arial"/>
          <w:sz w:val="24"/>
          <w:szCs w:val="24"/>
        </w:rPr>
        <w:t xml:space="preserve">se señalaron las once horas del veintisiete de agosto de dos mil dieciocho, para su celebración. </w:t>
      </w:r>
    </w:p>
    <w:p w:rsidR="008665B5" w:rsidRPr="00144DAE" w:rsidRDefault="008665B5" w:rsidP="008665B5">
      <w:pPr>
        <w:tabs>
          <w:tab w:val="left" w:pos="-142"/>
        </w:tabs>
        <w:spacing w:line="360" w:lineRule="auto"/>
        <w:ind w:right="-284" w:firstLine="851"/>
        <w:jc w:val="both"/>
        <w:rPr>
          <w:rFonts w:ascii="Arial" w:hAnsi="Arial" w:cs="Arial"/>
          <w:b/>
          <w:bCs/>
          <w:sz w:val="18"/>
          <w:szCs w:val="24"/>
        </w:rPr>
      </w:pPr>
    </w:p>
    <w:p w:rsidR="008665B5" w:rsidRPr="00144DAE" w:rsidRDefault="008665B5" w:rsidP="008665B5">
      <w:pPr>
        <w:pStyle w:val="Textoindependiente21"/>
        <w:tabs>
          <w:tab w:val="left" w:pos="-142"/>
        </w:tabs>
        <w:spacing w:line="360" w:lineRule="auto"/>
        <w:ind w:right="-284" w:firstLine="851"/>
        <w:rPr>
          <w:rFonts w:ascii="Arial" w:hAnsi="Arial" w:cs="Arial"/>
          <w:szCs w:val="24"/>
        </w:rPr>
      </w:pPr>
      <w:r w:rsidRPr="00144DAE">
        <w:rPr>
          <w:rFonts w:ascii="Arial" w:hAnsi="Arial" w:cs="Arial"/>
          <w:b/>
          <w:color w:val="000000"/>
          <w:szCs w:val="24"/>
        </w:rPr>
        <w:t>CUARTO.</w:t>
      </w:r>
      <w:r w:rsidRPr="00144DAE">
        <w:rPr>
          <w:rFonts w:ascii="Arial" w:hAnsi="Arial" w:cs="Arial"/>
          <w:color w:val="000000"/>
          <w:szCs w:val="24"/>
        </w:rPr>
        <w:t xml:space="preserve"> </w:t>
      </w:r>
      <w:r w:rsidRPr="00144DAE">
        <w:rPr>
          <w:rFonts w:ascii="Arial" w:hAnsi="Arial" w:cs="Arial"/>
          <w:szCs w:val="24"/>
        </w:rPr>
        <w:t xml:space="preserve">Mediante diligencia de veintisiete de agosto de dos mil dieciocho, se celebró la audiencia final sin comparecencia de las partes ni de persona alguna que legalmente las representara; en el periodo de pruebas se tuvieron por desahogadas por su propia y especial naturaleza las pruebas ofrecidas por las partes; en el periodo de alegatos se dio cuenta con el escrito del </w:t>
      </w:r>
      <w:r>
        <w:rPr>
          <w:rFonts w:ascii="Arial" w:hAnsi="Arial" w:cs="Arial"/>
          <w:szCs w:val="24"/>
        </w:rPr>
        <w:t>actor</w:t>
      </w:r>
      <w:r w:rsidRPr="00144DAE">
        <w:rPr>
          <w:rFonts w:ascii="Arial" w:hAnsi="Arial" w:cs="Arial"/>
          <w:szCs w:val="24"/>
        </w:rPr>
        <w:t>, por lo que se tuvo por cerrado dicho periodo. Finalmente, se pronuncia la sentencia en los siguientes términos.</w:t>
      </w:r>
    </w:p>
    <w:p w:rsidR="008665B5" w:rsidRPr="00144DAE" w:rsidRDefault="008665B5" w:rsidP="008665B5">
      <w:pPr>
        <w:pStyle w:val="Textoindependiente21"/>
        <w:tabs>
          <w:tab w:val="left" w:pos="-142"/>
        </w:tabs>
        <w:spacing w:line="360" w:lineRule="auto"/>
        <w:ind w:right="-284" w:firstLine="851"/>
        <w:rPr>
          <w:rFonts w:ascii="Arial" w:hAnsi="Arial" w:cs="Arial"/>
          <w:b/>
          <w:sz w:val="16"/>
          <w:szCs w:val="24"/>
        </w:rPr>
      </w:pPr>
    </w:p>
    <w:p w:rsidR="008665B5" w:rsidRPr="00144DAE" w:rsidRDefault="008665B5" w:rsidP="008665B5">
      <w:pPr>
        <w:tabs>
          <w:tab w:val="left" w:pos="-142"/>
        </w:tabs>
        <w:spacing w:line="360" w:lineRule="auto"/>
        <w:ind w:right="-284" w:firstLine="851"/>
        <w:jc w:val="center"/>
        <w:rPr>
          <w:rFonts w:ascii="Arial" w:hAnsi="Arial" w:cs="Arial"/>
          <w:b/>
          <w:sz w:val="24"/>
          <w:szCs w:val="24"/>
          <w:lang w:val="pt-BR"/>
        </w:rPr>
      </w:pPr>
      <w:r w:rsidRPr="00144DAE">
        <w:rPr>
          <w:rFonts w:ascii="Arial" w:hAnsi="Arial" w:cs="Arial"/>
          <w:b/>
          <w:sz w:val="24"/>
          <w:szCs w:val="24"/>
          <w:lang w:val="pt-BR"/>
        </w:rPr>
        <w:t>C O N S I D E R A N D O:</w:t>
      </w:r>
    </w:p>
    <w:p w:rsidR="008665B5" w:rsidRPr="00144DAE" w:rsidRDefault="008665B5" w:rsidP="008665B5">
      <w:pPr>
        <w:tabs>
          <w:tab w:val="left" w:pos="-142"/>
        </w:tabs>
        <w:spacing w:line="360" w:lineRule="auto"/>
        <w:ind w:right="-284" w:firstLine="851"/>
        <w:jc w:val="center"/>
        <w:rPr>
          <w:rFonts w:ascii="Arial" w:hAnsi="Arial" w:cs="Arial"/>
          <w:b/>
          <w:sz w:val="16"/>
          <w:szCs w:val="24"/>
          <w:lang w:val="pt-BR"/>
        </w:rPr>
      </w:pPr>
    </w:p>
    <w:p w:rsidR="008665B5" w:rsidRPr="00144DAE" w:rsidRDefault="008665B5" w:rsidP="008665B5">
      <w:pPr>
        <w:tabs>
          <w:tab w:val="left" w:pos="-142"/>
          <w:tab w:val="left" w:pos="284"/>
        </w:tabs>
        <w:spacing w:line="360" w:lineRule="auto"/>
        <w:ind w:right="-284" w:firstLine="851"/>
        <w:jc w:val="both"/>
        <w:rPr>
          <w:rFonts w:ascii="Arial" w:hAnsi="Arial" w:cs="Arial"/>
          <w:sz w:val="24"/>
          <w:szCs w:val="24"/>
        </w:rPr>
      </w:pPr>
      <w:r w:rsidRPr="00144DAE">
        <w:rPr>
          <w:rFonts w:ascii="Arial" w:hAnsi="Arial" w:cs="Arial"/>
          <w:b/>
          <w:sz w:val="24"/>
          <w:szCs w:val="24"/>
        </w:rPr>
        <w:t>PRIMERO. Competencia.</w:t>
      </w:r>
      <w:r w:rsidRPr="00144DAE">
        <w:rPr>
          <w:rFonts w:ascii="Arial" w:hAnsi="Arial"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w:t>
      </w:r>
      <w:r>
        <w:rPr>
          <w:rFonts w:ascii="Arial" w:hAnsi="Arial" w:cs="Arial"/>
          <w:sz w:val="24"/>
          <w:szCs w:val="24"/>
        </w:rPr>
        <w:t>ribuciones de este Tribunal; 118,</w:t>
      </w:r>
      <w:r w:rsidRPr="00144DAE">
        <w:rPr>
          <w:rFonts w:ascii="Arial" w:hAnsi="Arial" w:cs="Arial"/>
          <w:sz w:val="24"/>
          <w:szCs w:val="24"/>
        </w:rPr>
        <w:t xml:space="preserve"> 119 ,120 fracción I y 133 fracción I y II de la Ley de Procedimiento y Justicia Administrativa para el Estado de Oaxaca, por tratarse de un juicio de nulidad promovido en contra de una autori</w:t>
      </w:r>
      <w:r>
        <w:rPr>
          <w:rFonts w:ascii="Arial" w:hAnsi="Arial" w:cs="Arial"/>
          <w:sz w:val="24"/>
          <w:szCs w:val="24"/>
        </w:rPr>
        <w:t>dad administrativa de carácter e</w:t>
      </w:r>
      <w:r w:rsidRPr="00144DAE">
        <w:rPr>
          <w:rFonts w:ascii="Arial" w:hAnsi="Arial" w:cs="Arial"/>
          <w:sz w:val="24"/>
          <w:szCs w:val="24"/>
        </w:rPr>
        <w:t>statal.</w:t>
      </w:r>
    </w:p>
    <w:p w:rsidR="008665B5" w:rsidRPr="00144DAE" w:rsidRDefault="008665B5" w:rsidP="008665B5">
      <w:pPr>
        <w:pStyle w:val="corte4fondoCarCarCar"/>
        <w:tabs>
          <w:tab w:val="left" w:pos="-142"/>
        </w:tabs>
        <w:spacing w:before="240"/>
        <w:ind w:right="-284" w:firstLine="851"/>
        <w:rPr>
          <w:rFonts w:cs="Arial"/>
          <w:sz w:val="24"/>
        </w:rPr>
      </w:pPr>
      <w:r w:rsidRPr="00144DAE">
        <w:rPr>
          <w:rFonts w:cs="Arial"/>
          <w:b/>
          <w:sz w:val="24"/>
        </w:rPr>
        <w:t>SEGUNDO. Personalidad.</w:t>
      </w:r>
      <w:r w:rsidRPr="00144DAE">
        <w:rPr>
          <w:rFonts w:cs="Arial"/>
          <w:sz w:val="24"/>
        </w:rPr>
        <w:t xml:space="preserve"> Quedó acreditada de conformidad con los artículos 150 y 151 de la Ley de Procedimiento y Justicia Administrativa para el Estado de Oaxaca, que rige este procedimiento administrativo, toda vez que el ac</w:t>
      </w:r>
      <w:r>
        <w:rPr>
          <w:rFonts w:cs="Arial"/>
          <w:sz w:val="24"/>
        </w:rPr>
        <w:t xml:space="preserve">tor </w:t>
      </w:r>
      <w:r>
        <w:rPr>
          <w:rFonts w:cs="Arial"/>
          <w:sz w:val="24"/>
        </w:rPr>
        <w:t>**********</w:t>
      </w:r>
      <w:r w:rsidRPr="00144DAE">
        <w:rPr>
          <w:rFonts w:cs="Arial"/>
          <w:sz w:val="24"/>
        </w:rPr>
        <w:t>., promueve por propio derecho y respecto a la autoridad demandada se tiene por acreditada, dado que no se advierte que el actor la impugnara.</w:t>
      </w:r>
    </w:p>
    <w:p w:rsidR="008665B5" w:rsidRPr="00144DAE" w:rsidRDefault="008665B5" w:rsidP="008665B5">
      <w:pPr>
        <w:pStyle w:val="corte4fondoCarCarCar"/>
        <w:tabs>
          <w:tab w:val="left" w:pos="-142"/>
        </w:tabs>
        <w:spacing w:before="240"/>
        <w:ind w:right="-284" w:firstLine="851"/>
        <w:rPr>
          <w:rFonts w:cs="Arial"/>
          <w:b/>
          <w:bCs/>
          <w:sz w:val="6"/>
        </w:rPr>
      </w:pPr>
    </w:p>
    <w:p w:rsidR="008665B5" w:rsidRPr="00144DAE" w:rsidRDefault="008665B5" w:rsidP="008665B5">
      <w:pPr>
        <w:pStyle w:val="Sangra2detindependiente2"/>
        <w:tabs>
          <w:tab w:val="left" w:pos="-142"/>
        </w:tabs>
        <w:spacing w:line="360" w:lineRule="auto"/>
        <w:ind w:right="-284" w:firstLine="851"/>
        <w:rPr>
          <w:rFonts w:cs="Arial"/>
          <w:szCs w:val="24"/>
        </w:rPr>
      </w:pPr>
      <w:r w:rsidRPr="00144DAE">
        <w:rPr>
          <w:rFonts w:cs="Arial"/>
          <w:b/>
          <w:bCs/>
          <w:szCs w:val="24"/>
        </w:rPr>
        <w:t>TERCERO.</w:t>
      </w:r>
      <w:r w:rsidRPr="00144DAE">
        <w:rPr>
          <w:rFonts w:cs="Arial"/>
          <w:color w:val="000000"/>
          <w:szCs w:val="24"/>
        </w:rPr>
        <w:t xml:space="preserve"> </w:t>
      </w:r>
      <w:r w:rsidRPr="00144DAE">
        <w:rPr>
          <w:rFonts w:cs="Arial"/>
          <w:b/>
          <w:szCs w:val="24"/>
        </w:rPr>
        <w:t>Causales de improcedencia y sobreseimiento</w:t>
      </w:r>
      <w:r w:rsidRPr="00144DAE">
        <w:rPr>
          <w:rFonts w:cs="Arial"/>
          <w:color w:val="000000"/>
          <w:szCs w:val="24"/>
        </w:rPr>
        <w:t xml:space="preserve">. </w:t>
      </w:r>
      <w:r w:rsidRPr="00144DAE">
        <w:rPr>
          <w:rFonts w:cs="Arial"/>
          <w:szCs w:val="24"/>
        </w:rPr>
        <w:t xml:space="preserve">Previo al estudio de fondo del asunto, resulta obligado analizar, si en la especie se actualiza </w:t>
      </w:r>
      <w:r w:rsidRPr="00144DAE">
        <w:rPr>
          <w:rFonts w:cs="Arial"/>
          <w:szCs w:val="24"/>
        </w:rPr>
        <w:lastRenderedPageBreak/>
        <w:t xml:space="preserve">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En el caso este juzgador estima que no se actualiza alguna de las hipótesis previstas en la Ley que rige a este Tribunal, por lo tanto, </w:t>
      </w:r>
      <w:r w:rsidRPr="00144DAE">
        <w:rPr>
          <w:rFonts w:cs="Arial"/>
          <w:b/>
          <w:szCs w:val="24"/>
        </w:rPr>
        <w:t>NO SE SOBRESEE EL PRESENTE JUICIO</w:t>
      </w:r>
      <w:r w:rsidRPr="00144DAE">
        <w:rPr>
          <w:rFonts w:cs="Arial"/>
          <w:szCs w:val="24"/>
        </w:rPr>
        <w:t xml:space="preserve">. </w:t>
      </w:r>
    </w:p>
    <w:p w:rsidR="008665B5" w:rsidRPr="00144DAE" w:rsidRDefault="008665B5" w:rsidP="008665B5">
      <w:pPr>
        <w:pStyle w:val="Sangra2detindependiente2"/>
        <w:tabs>
          <w:tab w:val="left" w:pos="-142"/>
        </w:tabs>
        <w:spacing w:line="360" w:lineRule="auto"/>
        <w:ind w:right="-284" w:firstLine="851"/>
        <w:rPr>
          <w:rFonts w:cs="Arial"/>
          <w:szCs w:val="24"/>
        </w:rPr>
      </w:pPr>
    </w:p>
    <w:p w:rsidR="008665B5" w:rsidRPr="00144DAE" w:rsidRDefault="008665B5" w:rsidP="008665B5">
      <w:pPr>
        <w:tabs>
          <w:tab w:val="left" w:pos="-142"/>
        </w:tabs>
        <w:spacing w:line="360" w:lineRule="auto"/>
        <w:ind w:right="-284" w:firstLine="851"/>
        <w:jc w:val="both"/>
        <w:rPr>
          <w:rFonts w:ascii="Arial" w:hAnsi="Arial" w:cs="Arial"/>
          <w:sz w:val="24"/>
          <w:szCs w:val="24"/>
        </w:rPr>
      </w:pPr>
      <w:r w:rsidRPr="00144DAE">
        <w:rPr>
          <w:rFonts w:ascii="Arial" w:hAnsi="Arial" w:cs="Arial"/>
          <w:b/>
          <w:sz w:val="24"/>
          <w:szCs w:val="24"/>
        </w:rPr>
        <w:t>CUARTO.</w:t>
      </w:r>
      <w:r w:rsidRPr="00144DAE">
        <w:rPr>
          <w:rFonts w:ascii="Arial" w:hAnsi="Arial" w:cs="Arial"/>
          <w:sz w:val="24"/>
          <w:szCs w:val="24"/>
        </w:rPr>
        <w:t xml:space="preserve"> </w:t>
      </w:r>
      <w:r w:rsidRPr="00144DAE">
        <w:rPr>
          <w:rFonts w:ascii="Arial" w:hAnsi="Arial" w:cs="Arial"/>
          <w:b/>
          <w:bCs/>
          <w:sz w:val="24"/>
          <w:szCs w:val="24"/>
        </w:rPr>
        <w:t xml:space="preserve">Estudio de los Conceptos de impugnación. </w:t>
      </w:r>
      <w:r w:rsidRPr="00144DAE">
        <w:rPr>
          <w:rFonts w:ascii="Arial" w:hAnsi="Arial" w:cs="Arial"/>
          <w:bCs/>
          <w:sz w:val="24"/>
          <w:szCs w:val="24"/>
        </w:rPr>
        <w:t xml:space="preserve">Los conceptos de impugnación hechos valer por </w:t>
      </w:r>
      <w:r w:rsidRPr="00144DAE">
        <w:rPr>
          <w:rFonts w:ascii="Arial" w:hAnsi="Arial" w:cs="Arial"/>
          <w:sz w:val="24"/>
          <w:szCs w:val="24"/>
        </w:rPr>
        <w:t>el ac</w:t>
      </w:r>
      <w:r>
        <w:rPr>
          <w:rFonts w:ascii="Arial" w:hAnsi="Arial" w:cs="Arial"/>
          <w:sz w:val="24"/>
          <w:szCs w:val="24"/>
        </w:rPr>
        <w:t xml:space="preserve">tor </w:t>
      </w:r>
      <w:r>
        <w:rPr>
          <w:rFonts w:ascii="Arial" w:hAnsi="Arial" w:cs="Arial"/>
          <w:sz w:val="24"/>
          <w:szCs w:val="24"/>
        </w:rPr>
        <w:t>**********</w:t>
      </w:r>
      <w:r w:rsidRPr="00144DAE">
        <w:rPr>
          <w:rFonts w:ascii="Arial" w:hAnsi="Arial" w:cs="Arial"/>
          <w:sz w:val="24"/>
          <w:szCs w:val="24"/>
        </w:rPr>
        <w:t xml:space="preserve">., </w:t>
      </w:r>
      <w:r w:rsidRPr="00144DAE">
        <w:rPr>
          <w:rFonts w:ascii="Arial" w:hAnsi="Arial" w:cs="Arial"/>
          <w:bCs/>
          <w:sz w:val="24"/>
          <w:szCs w:val="24"/>
        </w:rPr>
        <w:t>se encuentran expuestos en su escrito inicial de demanda, por lo que no existe necesidad de transcribirlos, al no transgredírsele derecho alguno, como tampoco se vulnera disposición expresa que imponga tal obligación</w:t>
      </w:r>
      <w:r w:rsidRPr="00144DAE">
        <w:rPr>
          <w:rFonts w:ascii="Arial" w:hAnsi="Arial" w:cs="Arial"/>
          <w:sz w:val="24"/>
          <w:szCs w:val="24"/>
        </w:rPr>
        <w:t xml:space="preserve">; no obstante ello, serán valorados en el cuerpo de esta sentencia. </w:t>
      </w:r>
    </w:p>
    <w:p w:rsidR="008665B5" w:rsidRPr="00144DAE" w:rsidRDefault="008665B5" w:rsidP="008665B5">
      <w:pPr>
        <w:tabs>
          <w:tab w:val="left" w:pos="-142"/>
        </w:tabs>
        <w:spacing w:line="360" w:lineRule="auto"/>
        <w:ind w:right="-284" w:firstLine="851"/>
        <w:jc w:val="both"/>
        <w:rPr>
          <w:rFonts w:ascii="Arial" w:hAnsi="Arial" w:cs="Arial"/>
          <w:sz w:val="24"/>
          <w:szCs w:val="24"/>
        </w:rPr>
      </w:pPr>
    </w:p>
    <w:p w:rsidR="008665B5" w:rsidRPr="00144DAE" w:rsidRDefault="008665B5" w:rsidP="008665B5">
      <w:pPr>
        <w:pStyle w:val="Textonotapie"/>
        <w:widowControl w:val="0"/>
        <w:tabs>
          <w:tab w:val="left" w:pos="-142"/>
        </w:tabs>
        <w:spacing w:line="360" w:lineRule="auto"/>
        <w:ind w:right="-284" w:firstLine="851"/>
        <w:jc w:val="both"/>
        <w:rPr>
          <w:rFonts w:ascii="Arial" w:hAnsi="Arial" w:cs="Arial"/>
          <w:sz w:val="24"/>
          <w:szCs w:val="24"/>
          <w:lang w:eastAsia="es-MX"/>
        </w:rPr>
      </w:pPr>
      <w:r w:rsidRPr="00144DAE">
        <w:rPr>
          <w:rFonts w:ascii="Arial" w:hAnsi="Arial" w:cs="Arial"/>
          <w:sz w:val="24"/>
          <w:szCs w:val="24"/>
          <w:lang w:val="es-MX" w:eastAsia="es-MX"/>
        </w:rPr>
        <w:t>Resulta aplicable</w:t>
      </w:r>
      <w:r w:rsidRPr="00144DAE">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Semanario Judicial de la Federación y su Gaceta, Tomo XXXI, mayo de 2010, página 830, de rubro y texto siguiente: </w:t>
      </w:r>
    </w:p>
    <w:p w:rsidR="008665B5" w:rsidRPr="00144DAE" w:rsidRDefault="008665B5" w:rsidP="008665B5">
      <w:pPr>
        <w:pStyle w:val="Textonotapie"/>
        <w:widowControl w:val="0"/>
        <w:tabs>
          <w:tab w:val="left" w:pos="-142"/>
        </w:tabs>
        <w:spacing w:line="360" w:lineRule="auto"/>
        <w:ind w:right="-284" w:firstLine="851"/>
        <w:jc w:val="both"/>
        <w:rPr>
          <w:rFonts w:ascii="Arial" w:hAnsi="Arial" w:cs="Arial"/>
          <w:sz w:val="24"/>
          <w:szCs w:val="24"/>
          <w:lang w:eastAsia="es-MX"/>
        </w:rPr>
      </w:pPr>
    </w:p>
    <w:p w:rsidR="008665B5" w:rsidRPr="00144DAE" w:rsidRDefault="008665B5" w:rsidP="008665B5">
      <w:pPr>
        <w:pStyle w:val="Textonotapie"/>
        <w:widowControl w:val="0"/>
        <w:tabs>
          <w:tab w:val="left" w:pos="-142"/>
        </w:tabs>
        <w:spacing w:line="276" w:lineRule="auto"/>
        <w:ind w:right="-284" w:firstLine="851"/>
        <w:jc w:val="both"/>
        <w:rPr>
          <w:rFonts w:ascii="Arial" w:hAnsi="Arial" w:cs="Arial"/>
          <w:sz w:val="24"/>
          <w:szCs w:val="24"/>
          <w:lang w:eastAsia="es-MX"/>
        </w:rPr>
      </w:pPr>
      <w:r w:rsidRPr="00144DAE">
        <w:rPr>
          <w:rFonts w:ascii="Arial" w:hAnsi="Arial" w:cs="Arial"/>
          <w:b/>
          <w:i/>
          <w:sz w:val="24"/>
          <w:szCs w:val="24"/>
        </w:rPr>
        <w:t>“CONGRUENCIA Y EXHAUSTIVIDAD EN LAS SENTENCIAS DE AMPARO ES INNECESARIA SU TRANSCRIPCIÓN</w:t>
      </w:r>
      <w:r w:rsidRPr="00144DAE">
        <w:rPr>
          <w:rFonts w:ascii="Arial" w:hAnsi="Arial" w:cs="Arial"/>
          <w:i/>
          <w:sz w:val="24"/>
          <w:szCs w:val="24"/>
        </w:rPr>
        <w:t xml:space="preserve">.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144DAE">
        <w:rPr>
          <w:rFonts w:ascii="Arial" w:hAnsi="Arial" w:cs="Arial"/>
          <w:i/>
          <w:sz w:val="24"/>
          <w:szCs w:val="24"/>
        </w:rPr>
        <w:t>litis</w:t>
      </w:r>
      <w:proofErr w:type="spellEnd"/>
      <w:r w:rsidRPr="00144DAE">
        <w:rPr>
          <w:rFonts w:ascii="Arial" w:hAnsi="Arial" w:cs="Arial"/>
          <w:i/>
          <w:sz w:val="24"/>
          <w:szCs w:val="24"/>
        </w:rPr>
        <w:t>.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p w:rsidR="008665B5" w:rsidRPr="00144DAE" w:rsidRDefault="008665B5" w:rsidP="008665B5">
      <w:pPr>
        <w:pStyle w:val="Textonotapie"/>
        <w:widowControl w:val="0"/>
        <w:tabs>
          <w:tab w:val="left" w:pos="-142"/>
        </w:tabs>
        <w:spacing w:line="360" w:lineRule="auto"/>
        <w:ind w:right="-284" w:firstLine="851"/>
        <w:jc w:val="both"/>
        <w:rPr>
          <w:rFonts w:ascii="Arial" w:hAnsi="Arial" w:cs="Arial"/>
          <w:b/>
          <w:sz w:val="24"/>
          <w:szCs w:val="24"/>
          <w:lang w:eastAsia="es-MX"/>
        </w:rPr>
      </w:pPr>
    </w:p>
    <w:p w:rsidR="008665B5" w:rsidRPr="00144DAE" w:rsidRDefault="008665B5" w:rsidP="008665B5">
      <w:pPr>
        <w:tabs>
          <w:tab w:val="left" w:pos="-142"/>
        </w:tabs>
        <w:spacing w:line="360" w:lineRule="auto"/>
        <w:ind w:right="-284" w:firstLine="851"/>
        <w:jc w:val="both"/>
        <w:rPr>
          <w:rFonts w:ascii="Arial" w:hAnsi="Arial" w:cs="Arial"/>
          <w:sz w:val="24"/>
          <w:szCs w:val="24"/>
        </w:rPr>
      </w:pPr>
      <w:r w:rsidRPr="00144DAE">
        <w:rPr>
          <w:rFonts w:ascii="Arial" w:hAnsi="Arial" w:cs="Arial"/>
          <w:b/>
          <w:sz w:val="24"/>
          <w:szCs w:val="24"/>
        </w:rPr>
        <w:t>QUINTO.</w:t>
      </w:r>
      <w:r w:rsidRPr="00144DAE">
        <w:rPr>
          <w:rFonts w:ascii="Arial" w:hAnsi="Arial" w:cs="Arial"/>
          <w:sz w:val="24"/>
          <w:szCs w:val="24"/>
        </w:rPr>
        <w:t xml:space="preserve"> </w:t>
      </w:r>
      <w:r w:rsidRPr="00144DAE">
        <w:rPr>
          <w:rFonts w:ascii="Arial" w:hAnsi="Arial" w:cs="Arial"/>
          <w:b/>
          <w:sz w:val="24"/>
          <w:szCs w:val="24"/>
        </w:rPr>
        <w:t xml:space="preserve">Estudio de fondo. </w:t>
      </w:r>
      <w:r w:rsidRPr="00144DAE">
        <w:rPr>
          <w:rFonts w:ascii="Arial" w:hAnsi="Arial" w:cs="Arial"/>
          <w:sz w:val="24"/>
          <w:szCs w:val="24"/>
        </w:rPr>
        <w:t xml:space="preserve">Esta Sala Unitaria después de haber analizado la multa por infracción establecida en el artículo 268 fracción I, del Código Fiscal para el estado de Oaxaca, contenida en el oficio con número de control </w:t>
      </w:r>
      <w:r>
        <w:rPr>
          <w:rFonts w:ascii="Arial" w:hAnsi="Arial" w:cs="Arial"/>
          <w:sz w:val="24"/>
          <w:szCs w:val="24"/>
        </w:rPr>
        <w:t>**********</w:t>
      </w:r>
      <w:r w:rsidRPr="00144DAE">
        <w:rPr>
          <w:rFonts w:ascii="Arial" w:hAnsi="Arial" w:cs="Arial"/>
          <w:sz w:val="24"/>
          <w:szCs w:val="24"/>
        </w:rPr>
        <w:t xml:space="preserve">, de fecha ocho de agosto de dos mil diecisiete, impuesta por la Directora de Ingresos y Recaudación de la Secretaría de Finanzas del Estado; y tomando en consideración los conceptos de impugnación hechos valer por el actor </w:t>
      </w:r>
      <w:r w:rsidRPr="00144DAE">
        <w:rPr>
          <w:rFonts w:ascii="Arial" w:hAnsi="Arial" w:cs="Arial"/>
          <w:sz w:val="24"/>
          <w:szCs w:val="24"/>
        </w:rPr>
        <w:lastRenderedPageBreak/>
        <w:t>se advierte, que la enjuiciada señaló lo siguiente:</w:t>
      </w:r>
    </w:p>
    <w:p w:rsidR="008665B5" w:rsidRPr="00144DAE" w:rsidRDefault="008665B5" w:rsidP="008665B5">
      <w:pPr>
        <w:pStyle w:val="corte4fondo"/>
        <w:tabs>
          <w:tab w:val="left" w:pos="-142"/>
        </w:tabs>
        <w:ind w:right="-284" w:firstLine="851"/>
        <w:rPr>
          <w:rFonts w:cs="Arial"/>
          <w:sz w:val="24"/>
          <w:szCs w:val="24"/>
        </w:rPr>
      </w:pPr>
    </w:p>
    <w:p w:rsidR="008665B5" w:rsidRPr="00144DAE" w:rsidRDefault="008665B5" w:rsidP="008665B5">
      <w:pPr>
        <w:pStyle w:val="corte4fondo"/>
        <w:tabs>
          <w:tab w:val="left" w:pos="-142"/>
        </w:tabs>
        <w:ind w:right="-284" w:firstLine="851"/>
        <w:rPr>
          <w:rFonts w:cs="Arial"/>
          <w:i/>
          <w:sz w:val="24"/>
          <w:szCs w:val="24"/>
        </w:rPr>
      </w:pPr>
      <w:r w:rsidRPr="00144DAE">
        <w:rPr>
          <w:rFonts w:cs="Arial"/>
          <w:i/>
          <w:sz w:val="24"/>
          <w:szCs w:val="24"/>
        </w:rPr>
        <w:t>“</w:t>
      </w:r>
      <w:r w:rsidRPr="00144DAE">
        <w:rPr>
          <w:rFonts w:cs="Arial"/>
          <w:b/>
          <w:i/>
          <w:sz w:val="24"/>
          <w:szCs w:val="24"/>
        </w:rPr>
        <w:t>1.</w:t>
      </w:r>
      <w:r w:rsidRPr="00144DAE">
        <w:rPr>
          <w:rFonts w:cs="Arial"/>
          <w:i/>
          <w:sz w:val="24"/>
          <w:szCs w:val="24"/>
        </w:rPr>
        <w:t xml:space="preserve"> El artículo 64 del Código Fiscal del Estado de Oaxaca, en correlación a los artículos 59 y 60 del Reglamento del mismo, señala que las personas físicas, morales y unidades económicas están obligados a presentar su solicitud de inscripción al Registro Estatal de Contribuyentes, en un plazo de un mes al día en que se actualice el supuesto jurídico o el hecho jurídico que lo motive.”</w:t>
      </w:r>
    </w:p>
    <w:p w:rsidR="008665B5" w:rsidRPr="00144DAE" w:rsidRDefault="008665B5" w:rsidP="008665B5">
      <w:pPr>
        <w:pStyle w:val="corte4fondo"/>
        <w:tabs>
          <w:tab w:val="left" w:pos="-142"/>
        </w:tabs>
        <w:ind w:right="-284" w:firstLine="851"/>
        <w:rPr>
          <w:rFonts w:cs="Arial"/>
          <w:sz w:val="14"/>
          <w:szCs w:val="24"/>
        </w:rPr>
      </w:pPr>
    </w:p>
    <w:p w:rsidR="008665B5" w:rsidRPr="00144DAE" w:rsidRDefault="008665B5" w:rsidP="008665B5">
      <w:pPr>
        <w:pStyle w:val="corte4fondo"/>
        <w:tabs>
          <w:tab w:val="left" w:pos="-142"/>
        </w:tabs>
        <w:ind w:right="-284" w:firstLine="851"/>
        <w:rPr>
          <w:rFonts w:cs="Arial"/>
          <w:i/>
          <w:sz w:val="24"/>
          <w:szCs w:val="24"/>
        </w:rPr>
      </w:pPr>
      <w:r w:rsidRPr="00144DAE">
        <w:rPr>
          <w:rFonts w:cs="Arial"/>
          <w:i/>
          <w:sz w:val="24"/>
          <w:szCs w:val="24"/>
        </w:rPr>
        <w:t>“</w:t>
      </w:r>
      <w:r w:rsidRPr="00144DAE">
        <w:rPr>
          <w:rFonts w:cs="Arial"/>
          <w:b/>
          <w:i/>
          <w:sz w:val="24"/>
          <w:szCs w:val="24"/>
        </w:rPr>
        <w:t>2.</w:t>
      </w:r>
      <w:r w:rsidRPr="00144DAE">
        <w:rPr>
          <w:rFonts w:cs="Arial"/>
          <w:i/>
          <w:sz w:val="24"/>
          <w:szCs w:val="24"/>
        </w:rPr>
        <w:t xml:space="preserve"> Esta autoridad identificó que es sujeto obligado a inscribirse en el Registro Estatal de Contribuyentes del Estado de Oaxaca, por realizar actividades vinculadas al Impuesto sobre Erogaciones por Remuneraciones de Trabajo Personal, lo anterior como resultado del intercambio de información que realiza la Dirección de Ingresos y Recaudación, con Dependencias y Organismos Públicos en el ámbito Estatal y Federal, con fundamento en los artículos 96, 97 primer párrafo y 98 del Código Fiscal del Estado de Oaxaca.”</w:t>
      </w:r>
    </w:p>
    <w:p w:rsidR="008665B5" w:rsidRPr="00144DAE" w:rsidRDefault="008665B5" w:rsidP="008665B5">
      <w:pPr>
        <w:pStyle w:val="corte4fondo"/>
        <w:tabs>
          <w:tab w:val="left" w:pos="-142"/>
        </w:tabs>
        <w:ind w:right="-284" w:firstLine="851"/>
        <w:rPr>
          <w:rFonts w:cs="Arial"/>
          <w:sz w:val="16"/>
          <w:szCs w:val="24"/>
        </w:rPr>
      </w:pPr>
    </w:p>
    <w:p w:rsidR="008665B5" w:rsidRPr="00144DAE" w:rsidRDefault="008665B5" w:rsidP="008665B5">
      <w:pPr>
        <w:pStyle w:val="corte4fondo"/>
        <w:tabs>
          <w:tab w:val="left" w:pos="-142"/>
        </w:tabs>
        <w:ind w:right="-284" w:firstLine="851"/>
        <w:rPr>
          <w:rFonts w:cs="Arial"/>
          <w:i/>
          <w:sz w:val="24"/>
          <w:szCs w:val="24"/>
        </w:rPr>
      </w:pPr>
      <w:r w:rsidRPr="00144DAE">
        <w:rPr>
          <w:rFonts w:cs="Arial"/>
          <w:sz w:val="24"/>
          <w:szCs w:val="24"/>
        </w:rPr>
        <w:t>“</w:t>
      </w:r>
      <w:r w:rsidRPr="00144DAE">
        <w:rPr>
          <w:rFonts w:cs="Arial"/>
          <w:b/>
          <w:sz w:val="24"/>
          <w:szCs w:val="24"/>
        </w:rPr>
        <w:t>3.</w:t>
      </w:r>
      <w:r w:rsidRPr="00144DAE">
        <w:rPr>
          <w:rFonts w:cs="Arial"/>
          <w:sz w:val="24"/>
          <w:szCs w:val="24"/>
        </w:rPr>
        <w:t xml:space="preserve"> </w:t>
      </w:r>
      <w:r w:rsidRPr="00144DAE">
        <w:rPr>
          <w:rFonts w:cs="Arial"/>
          <w:i/>
          <w:sz w:val="24"/>
          <w:szCs w:val="24"/>
        </w:rPr>
        <w:t>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veces el valor de la Unidad de Medida y Actualización vigente, sin embargo esta autoridad fiscal determina imponer el monto mínimo el cual es equivalente a cincuenta veces el Valor de Unidad de Medida y Actualización, publicada en el Diario Oficial de la Federación, vigente a partir del 1 de febrero de dos mil diecisiete, por considerar que no existe agravantes ni antecedentes del contribuyente, por lo cual la sanción se finca en los términos siguientes:</w:t>
      </w:r>
    </w:p>
    <w:p w:rsidR="008665B5" w:rsidRPr="00144DAE" w:rsidRDefault="008665B5" w:rsidP="008665B5">
      <w:pPr>
        <w:pStyle w:val="corte4fondo"/>
        <w:tabs>
          <w:tab w:val="left" w:pos="-142"/>
        </w:tabs>
        <w:ind w:right="-284" w:firstLine="851"/>
        <w:rPr>
          <w:rFonts w:cs="Arial"/>
          <w:i/>
          <w:sz w:val="10"/>
          <w:szCs w:val="24"/>
        </w:rPr>
      </w:pP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408"/>
        <w:gridCol w:w="1331"/>
      </w:tblGrid>
      <w:tr w:rsidR="008665B5" w:rsidRPr="00144DAE" w:rsidTr="00151E66">
        <w:trPr>
          <w:trHeight w:val="153"/>
        </w:trPr>
        <w:tc>
          <w:tcPr>
            <w:tcW w:w="2491" w:type="dxa"/>
          </w:tcPr>
          <w:p w:rsidR="008665B5" w:rsidRPr="00144DAE" w:rsidRDefault="008665B5" w:rsidP="008665B5">
            <w:pPr>
              <w:pStyle w:val="corte4fondo"/>
              <w:tabs>
                <w:tab w:val="left" w:pos="-142"/>
              </w:tabs>
              <w:ind w:right="-284" w:firstLine="0"/>
              <w:jc w:val="center"/>
              <w:rPr>
                <w:rFonts w:cs="Arial"/>
                <w:i/>
                <w:sz w:val="24"/>
                <w:szCs w:val="24"/>
              </w:rPr>
            </w:pPr>
            <w:r w:rsidRPr="00144DAE">
              <w:rPr>
                <w:rFonts w:cs="Arial"/>
                <w:i/>
                <w:sz w:val="24"/>
                <w:szCs w:val="24"/>
              </w:rPr>
              <w:t>OBLIGACIÓN OMITIDA</w:t>
            </w:r>
          </w:p>
        </w:tc>
        <w:tc>
          <w:tcPr>
            <w:tcW w:w="1745" w:type="dxa"/>
          </w:tcPr>
          <w:p w:rsidR="008665B5" w:rsidRPr="00144DAE" w:rsidRDefault="008665B5" w:rsidP="008665B5">
            <w:pPr>
              <w:pStyle w:val="corte4fondo"/>
              <w:tabs>
                <w:tab w:val="left" w:pos="-142"/>
              </w:tabs>
              <w:ind w:right="-284" w:firstLine="0"/>
              <w:jc w:val="center"/>
              <w:rPr>
                <w:rFonts w:cs="Arial"/>
                <w:i/>
                <w:sz w:val="24"/>
                <w:szCs w:val="24"/>
              </w:rPr>
            </w:pPr>
            <w:r w:rsidRPr="00144DAE">
              <w:rPr>
                <w:rFonts w:cs="Arial"/>
                <w:i/>
                <w:sz w:val="24"/>
                <w:szCs w:val="24"/>
              </w:rPr>
              <w:t>INFRACCIÓN</w:t>
            </w:r>
          </w:p>
        </w:tc>
        <w:tc>
          <w:tcPr>
            <w:tcW w:w="1722" w:type="dxa"/>
          </w:tcPr>
          <w:p w:rsidR="008665B5" w:rsidRPr="00144DAE" w:rsidRDefault="008665B5" w:rsidP="008665B5">
            <w:pPr>
              <w:pStyle w:val="corte4fondo"/>
              <w:tabs>
                <w:tab w:val="left" w:pos="-142"/>
              </w:tabs>
              <w:ind w:right="-284" w:firstLine="0"/>
              <w:jc w:val="center"/>
              <w:rPr>
                <w:rFonts w:cs="Arial"/>
                <w:i/>
                <w:sz w:val="24"/>
                <w:szCs w:val="24"/>
              </w:rPr>
            </w:pPr>
            <w:r w:rsidRPr="00144DAE">
              <w:rPr>
                <w:rFonts w:cs="Arial"/>
                <w:i/>
                <w:sz w:val="24"/>
                <w:szCs w:val="24"/>
              </w:rPr>
              <w:t>SANCIÓN</w:t>
            </w:r>
          </w:p>
        </w:tc>
        <w:tc>
          <w:tcPr>
            <w:tcW w:w="1408" w:type="dxa"/>
          </w:tcPr>
          <w:p w:rsidR="008665B5" w:rsidRPr="00144DAE" w:rsidRDefault="008665B5" w:rsidP="008665B5">
            <w:pPr>
              <w:pStyle w:val="corte4fondo"/>
              <w:tabs>
                <w:tab w:val="left" w:pos="-142"/>
              </w:tabs>
              <w:ind w:right="-284" w:firstLine="0"/>
              <w:jc w:val="center"/>
              <w:rPr>
                <w:rFonts w:cs="Arial"/>
                <w:i/>
                <w:sz w:val="24"/>
                <w:szCs w:val="24"/>
              </w:rPr>
            </w:pPr>
            <w:r w:rsidRPr="00144DAE">
              <w:rPr>
                <w:rFonts w:cs="Arial"/>
                <w:i/>
                <w:sz w:val="24"/>
                <w:szCs w:val="24"/>
              </w:rPr>
              <w:t>UMA VIGENTE</w:t>
            </w:r>
          </w:p>
        </w:tc>
        <w:tc>
          <w:tcPr>
            <w:tcW w:w="1331" w:type="dxa"/>
          </w:tcPr>
          <w:p w:rsidR="008665B5" w:rsidRPr="00144DAE" w:rsidRDefault="008665B5" w:rsidP="008665B5">
            <w:pPr>
              <w:pStyle w:val="corte4fondo"/>
              <w:tabs>
                <w:tab w:val="left" w:pos="-142"/>
              </w:tabs>
              <w:ind w:right="-284" w:firstLine="0"/>
              <w:jc w:val="center"/>
              <w:rPr>
                <w:rFonts w:cs="Arial"/>
                <w:i/>
                <w:sz w:val="24"/>
                <w:szCs w:val="24"/>
              </w:rPr>
            </w:pPr>
            <w:r w:rsidRPr="00144DAE">
              <w:rPr>
                <w:rFonts w:cs="Arial"/>
                <w:i/>
                <w:sz w:val="24"/>
                <w:szCs w:val="24"/>
              </w:rPr>
              <w:t>MULTA A PAGAR</w:t>
            </w:r>
          </w:p>
        </w:tc>
      </w:tr>
      <w:tr w:rsidR="008665B5" w:rsidRPr="00144DAE" w:rsidTr="00151E66">
        <w:trPr>
          <w:trHeight w:val="336"/>
        </w:trPr>
        <w:tc>
          <w:tcPr>
            <w:tcW w:w="2491" w:type="dxa"/>
          </w:tcPr>
          <w:p w:rsidR="008665B5" w:rsidRPr="00144DAE" w:rsidRDefault="008665B5" w:rsidP="008665B5">
            <w:pPr>
              <w:pStyle w:val="corte4fondo"/>
              <w:tabs>
                <w:tab w:val="left" w:pos="-142"/>
              </w:tabs>
              <w:ind w:right="-284" w:firstLine="0"/>
              <w:rPr>
                <w:rFonts w:cs="Arial"/>
                <w:i/>
                <w:sz w:val="24"/>
                <w:szCs w:val="24"/>
              </w:rPr>
            </w:pPr>
            <w:r w:rsidRPr="00144DAE">
              <w:rPr>
                <w:rFonts w:cs="Arial"/>
                <w:i/>
                <w:sz w:val="24"/>
                <w:szCs w:val="24"/>
              </w:rPr>
              <w:t>Inscripción al Registro Estatal de Contribuyentes cuando se está obligado a ello.</w:t>
            </w:r>
          </w:p>
        </w:tc>
        <w:tc>
          <w:tcPr>
            <w:tcW w:w="1745" w:type="dxa"/>
          </w:tcPr>
          <w:p w:rsidR="008665B5" w:rsidRPr="00144DAE" w:rsidRDefault="008665B5" w:rsidP="008665B5">
            <w:pPr>
              <w:pStyle w:val="corte4fondo"/>
              <w:tabs>
                <w:tab w:val="left" w:pos="-142"/>
              </w:tabs>
              <w:ind w:right="-284" w:firstLine="0"/>
              <w:rPr>
                <w:rFonts w:cs="Arial"/>
                <w:i/>
                <w:sz w:val="24"/>
                <w:szCs w:val="24"/>
              </w:rPr>
            </w:pPr>
            <w:r w:rsidRPr="00144DAE">
              <w:rPr>
                <w:rFonts w:cs="Arial"/>
                <w:i/>
                <w:sz w:val="24"/>
                <w:szCs w:val="24"/>
              </w:rPr>
              <w:t xml:space="preserve">Artículo 268 fracción I del Código Fiscal para el Estado de Oaxaca vigente. </w:t>
            </w:r>
          </w:p>
        </w:tc>
        <w:tc>
          <w:tcPr>
            <w:tcW w:w="1722" w:type="dxa"/>
          </w:tcPr>
          <w:p w:rsidR="008665B5" w:rsidRPr="00144DAE" w:rsidRDefault="008665B5" w:rsidP="008665B5">
            <w:pPr>
              <w:pStyle w:val="corte4fondo"/>
              <w:tabs>
                <w:tab w:val="left" w:pos="-142"/>
              </w:tabs>
              <w:ind w:right="-284" w:firstLine="0"/>
              <w:rPr>
                <w:rFonts w:cs="Arial"/>
                <w:i/>
                <w:sz w:val="24"/>
                <w:szCs w:val="24"/>
              </w:rPr>
            </w:pPr>
            <w:r w:rsidRPr="00144DAE">
              <w:rPr>
                <w:rFonts w:cs="Arial"/>
                <w:i/>
                <w:sz w:val="24"/>
                <w:szCs w:val="24"/>
              </w:rPr>
              <w:t>50 UMA</w:t>
            </w:r>
          </w:p>
          <w:p w:rsidR="008665B5" w:rsidRPr="00144DAE" w:rsidRDefault="008665B5" w:rsidP="008665B5">
            <w:pPr>
              <w:pStyle w:val="corte4fondo"/>
              <w:tabs>
                <w:tab w:val="left" w:pos="-142"/>
              </w:tabs>
              <w:ind w:right="-284" w:firstLine="0"/>
              <w:rPr>
                <w:rFonts w:cs="Arial"/>
                <w:i/>
                <w:sz w:val="24"/>
                <w:szCs w:val="24"/>
              </w:rPr>
            </w:pPr>
            <w:r w:rsidRPr="00144DAE">
              <w:rPr>
                <w:rFonts w:cs="Arial"/>
                <w:i/>
                <w:sz w:val="24"/>
                <w:szCs w:val="24"/>
              </w:rPr>
              <w:t xml:space="preserve">Artículo 268 fracción I del Código Fiscal para el estado de </w:t>
            </w:r>
            <w:r w:rsidRPr="00144DAE">
              <w:rPr>
                <w:rFonts w:cs="Arial"/>
                <w:i/>
                <w:sz w:val="24"/>
                <w:szCs w:val="24"/>
              </w:rPr>
              <w:lastRenderedPageBreak/>
              <w:t>Oaxaca vigente.</w:t>
            </w:r>
          </w:p>
        </w:tc>
        <w:tc>
          <w:tcPr>
            <w:tcW w:w="1408" w:type="dxa"/>
          </w:tcPr>
          <w:p w:rsidR="008665B5" w:rsidRPr="00144DAE" w:rsidRDefault="008665B5" w:rsidP="008665B5">
            <w:pPr>
              <w:pStyle w:val="corte4fondo"/>
              <w:tabs>
                <w:tab w:val="left" w:pos="-142"/>
              </w:tabs>
              <w:ind w:right="-284" w:firstLine="0"/>
              <w:rPr>
                <w:rFonts w:cs="Arial"/>
                <w:i/>
                <w:sz w:val="24"/>
                <w:szCs w:val="24"/>
              </w:rPr>
            </w:pPr>
            <w:r w:rsidRPr="00144DAE">
              <w:rPr>
                <w:rFonts w:cs="Arial"/>
                <w:i/>
                <w:sz w:val="24"/>
                <w:szCs w:val="24"/>
              </w:rPr>
              <w:lastRenderedPageBreak/>
              <w:t>$ 75.49</w:t>
            </w:r>
          </w:p>
        </w:tc>
        <w:tc>
          <w:tcPr>
            <w:tcW w:w="1331" w:type="dxa"/>
          </w:tcPr>
          <w:p w:rsidR="008665B5" w:rsidRPr="00144DAE" w:rsidRDefault="008665B5" w:rsidP="008665B5">
            <w:pPr>
              <w:pStyle w:val="corte4fondo"/>
              <w:tabs>
                <w:tab w:val="left" w:pos="-142"/>
              </w:tabs>
              <w:ind w:right="-284" w:firstLine="0"/>
              <w:rPr>
                <w:rFonts w:cs="Arial"/>
                <w:i/>
                <w:sz w:val="24"/>
                <w:szCs w:val="24"/>
              </w:rPr>
            </w:pPr>
            <w:r w:rsidRPr="00144DAE">
              <w:rPr>
                <w:rFonts w:cs="Arial"/>
                <w:i/>
                <w:sz w:val="24"/>
                <w:szCs w:val="24"/>
              </w:rPr>
              <w:t>$ 3,775.00</w:t>
            </w:r>
          </w:p>
        </w:tc>
      </w:tr>
    </w:tbl>
    <w:p w:rsidR="008665B5" w:rsidRPr="00144DAE" w:rsidRDefault="008665B5" w:rsidP="008665B5">
      <w:pPr>
        <w:pStyle w:val="corte4fondo"/>
        <w:tabs>
          <w:tab w:val="left" w:pos="-142"/>
        </w:tabs>
        <w:ind w:right="-284" w:firstLine="851"/>
        <w:rPr>
          <w:rFonts w:cs="Arial"/>
          <w:sz w:val="24"/>
          <w:szCs w:val="24"/>
        </w:rPr>
      </w:pPr>
    </w:p>
    <w:p w:rsidR="008665B5" w:rsidRPr="00144DAE" w:rsidRDefault="008665B5" w:rsidP="008665B5">
      <w:pPr>
        <w:pStyle w:val="corte4fondo"/>
        <w:tabs>
          <w:tab w:val="left" w:pos="-142"/>
        </w:tabs>
        <w:ind w:right="-284" w:firstLine="851"/>
        <w:rPr>
          <w:rFonts w:cs="Arial"/>
          <w:sz w:val="24"/>
          <w:szCs w:val="24"/>
        </w:rPr>
      </w:pPr>
      <w:r w:rsidRPr="00144DAE">
        <w:rPr>
          <w:rFonts w:cs="Arial"/>
          <w:sz w:val="24"/>
          <w:szCs w:val="24"/>
        </w:rPr>
        <w:t xml:space="preserve">En este orden de ideas, para determinar lo anterior, la autoridad demandada señaló que la multa por infracción establecida en el artículo 268 fracción I, del Código Fiscal para el Estado de Oaxaca, impuesta a la persona moral denominada </w:t>
      </w:r>
      <w:r>
        <w:rPr>
          <w:rFonts w:cs="Arial"/>
          <w:sz w:val="24"/>
          <w:szCs w:val="24"/>
        </w:rPr>
        <w:t>**********</w:t>
      </w:r>
      <w:r w:rsidRPr="00144DAE">
        <w:rPr>
          <w:rFonts w:cs="Arial"/>
          <w:sz w:val="24"/>
          <w:szCs w:val="24"/>
        </w:rPr>
        <w:t xml:space="preserve">, surge como resultado del intercambio de información realizada por la Dirección de Ingresos y Recaudación de la Secretaría de Finanzas del Gobierno del Estado de Oaxaca, con Dependencias y Organismos Públicos en el ámbito Estatal y Federal, advirtiéndose que no ha dado cumplimiento con la obligación fiscal, consistente en el pago al Impuesto Sobre Erogaciones por Remuneraciones al Trabajo Personal. Así mismo, se encuentra citando los artículos del Código Fiscal del Estado de Oaxaca y del Reglamento del mismo, actualmente en vigor, los cuales establecen la obligación de pago del impuesto de referencia, a cargo de los contribuyentes que se coloquen en el supuesto jurídico. </w:t>
      </w:r>
    </w:p>
    <w:p w:rsidR="008665B5" w:rsidRPr="00144DAE" w:rsidRDefault="008665B5" w:rsidP="008665B5">
      <w:pPr>
        <w:tabs>
          <w:tab w:val="left" w:pos="-142"/>
        </w:tabs>
        <w:spacing w:line="360" w:lineRule="auto"/>
        <w:ind w:right="-284" w:firstLine="851"/>
        <w:jc w:val="both"/>
        <w:rPr>
          <w:rFonts w:ascii="Arial" w:hAnsi="Arial" w:cs="Arial"/>
          <w:sz w:val="18"/>
          <w:szCs w:val="24"/>
        </w:rPr>
      </w:pPr>
    </w:p>
    <w:p w:rsidR="008665B5" w:rsidRPr="00144DAE" w:rsidRDefault="008665B5" w:rsidP="008665B5">
      <w:pPr>
        <w:tabs>
          <w:tab w:val="left" w:pos="-142"/>
        </w:tabs>
        <w:spacing w:line="360" w:lineRule="auto"/>
        <w:ind w:right="-284" w:firstLine="851"/>
        <w:jc w:val="both"/>
        <w:rPr>
          <w:rFonts w:ascii="Arial" w:hAnsi="Arial" w:cs="Arial"/>
          <w:sz w:val="24"/>
          <w:szCs w:val="24"/>
        </w:rPr>
      </w:pPr>
      <w:r w:rsidRPr="00144DAE">
        <w:rPr>
          <w:rFonts w:ascii="Arial" w:hAnsi="Arial" w:cs="Arial"/>
          <w:sz w:val="24"/>
          <w:szCs w:val="24"/>
        </w:rPr>
        <w:t>Así las cosa</w:t>
      </w:r>
      <w:r>
        <w:rPr>
          <w:rFonts w:ascii="Arial" w:hAnsi="Arial" w:cs="Arial"/>
          <w:sz w:val="24"/>
          <w:szCs w:val="24"/>
        </w:rPr>
        <w:t>s, se advierte que la autoridad demandada</w:t>
      </w:r>
      <w:r w:rsidRPr="00144DAE">
        <w:rPr>
          <w:rFonts w:ascii="Arial" w:hAnsi="Arial" w:cs="Arial"/>
          <w:sz w:val="24"/>
          <w:szCs w:val="24"/>
        </w:rPr>
        <w:t xml:space="preserve"> omitió señalar en la multa impugnada las razones particulares, causas inmediatas y circunstancias especiales, de qué forma confirmó que el accionante es sujeto obligado al pago del Impuesto Sobre Erogaciones por Remuneraciones al Trabajo Personal; es decir, no precisa cuáles fueron los antecedentes por los cuales consideró que el administrado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ubicaron en la hipótesis normativa para ser considerado sujeto del multicitado impuesto. </w:t>
      </w:r>
    </w:p>
    <w:p w:rsidR="008665B5" w:rsidRPr="00144DAE" w:rsidRDefault="008665B5" w:rsidP="008665B5">
      <w:pPr>
        <w:tabs>
          <w:tab w:val="left" w:pos="-142"/>
        </w:tabs>
        <w:spacing w:line="360" w:lineRule="auto"/>
        <w:ind w:right="-284" w:firstLine="851"/>
        <w:jc w:val="both"/>
        <w:rPr>
          <w:rFonts w:ascii="Arial" w:hAnsi="Arial" w:cs="Arial"/>
          <w:sz w:val="14"/>
          <w:szCs w:val="24"/>
        </w:rPr>
      </w:pPr>
    </w:p>
    <w:p w:rsidR="008665B5" w:rsidRPr="00144DAE" w:rsidRDefault="008665B5" w:rsidP="008665B5">
      <w:pPr>
        <w:tabs>
          <w:tab w:val="left" w:pos="-142"/>
        </w:tabs>
        <w:spacing w:line="360" w:lineRule="auto"/>
        <w:ind w:right="-284" w:firstLine="851"/>
        <w:jc w:val="both"/>
        <w:rPr>
          <w:rFonts w:ascii="Arial" w:hAnsi="Arial" w:cs="Arial"/>
          <w:sz w:val="24"/>
          <w:szCs w:val="24"/>
        </w:rPr>
      </w:pPr>
      <w:r w:rsidRPr="00144DAE">
        <w:rPr>
          <w:rFonts w:ascii="Arial" w:hAnsi="Arial" w:cs="Arial"/>
          <w:sz w:val="24"/>
          <w:szCs w:val="24"/>
        </w:rPr>
        <w:t xml:space="preserve">En ese sentido, la autoridad fiscalizadora en primer término, debió ubicar a la persona moral como sujeto obligado, señalando los hechos o circunstancias que se generaron para que se actualizara el supuesto jurídico previsto por la ley fiscal vigente, del cual deriva la obligación sobre el referido impuesto, ya que del estudio de la multa no establece la fecha exacta en que se realizó la presunta </w:t>
      </w:r>
      <w:r w:rsidRPr="00144DAE">
        <w:rPr>
          <w:rFonts w:ascii="Arial" w:hAnsi="Arial" w:cs="Arial"/>
          <w:b/>
          <w:sz w:val="24"/>
          <w:szCs w:val="24"/>
        </w:rPr>
        <w:t>INSCRIPCIÓN AL REGISTRO ESTATAL DE CONTRIBUYENTES</w:t>
      </w:r>
      <w:r w:rsidRPr="00144DAE">
        <w:rPr>
          <w:rFonts w:ascii="Arial" w:hAnsi="Arial" w:cs="Arial"/>
          <w:sz w:val="24"/>
          <w:szCs w:val="24"/>
        </w:rPr>
        <w:t xml:space="preserve">, entendiéndose por ella, día, mes y año, en que el aquí actor se colocó dentro del supuesto jurídico, así como no señala el expediente, documento o bases de datos que tuvo en su poder o a las que tuvo acceso, por medio de otras autoridades locales y federales, para considerar a la aquí persona moral como sujeto a la aplicación del referido impuesto, solamente se limitó a hacer referencia al intercambio de información que realizó con otras Dependencias y Organismos tanto Estatales como Federales, en </w:t>
      </w:r>
      <w:r w:rsidRPr="00144DAE">
        <w:rPr>
          <w:rFonts w:ascii="Arial" w:hAnsi="Arial" w:cs="Arial"/>
          <w:sz w:val="24"/>
          <w:szCs w:val="24"/>
        </w:rPr>
        <w:lastRenderedPageBreak/>
        <w:t>base a lo dispuesto en el artículo 97 del Código Fiscal para el Estado de Oaxaca, vigente, para mayor compresión se transcribe:</w:t>
      </w:r>
    </w:p>
    <w:p w:rsidR="008665B5" w:rsidRPr="00144DAE" w:rsidRDefault="008665B5" w:rsidP="008665B5">
      <w:pPr>
        <w:tabs>
          <w:tab w:val="left" w:pos="-142"/>
        </w:tabs>
        <w:spacing w:line="360" w:lineRule="auto"/>
        <w:ind w:right="-284" w:firstLine="851"/>
        <w:jc w:val="center"/>
        <w:rPr>
          <w:rFonts w:ascii="Arial" w:hAnsi="Arial" w:cs="Arial"/>
          <w:i/>
          <w:sz w:val="16"/>
          <w:szCs w:val="24"/>
        </w:rPr>
      </w:pPr>
    </w:p>
    <w:p w:rsidR="008665B5" w:rsidRPr="00144DAE" w:rsidRDefault="008665B5" w:rsidP="008665B5">
      <w:pPr>
        <w:tabs>
          <w:tab w:val="left" w:pos="-142"/>
        </w:tabs>
        <w:spacing w:line="360" w:lineRule="auto"/>
        <w:ind w:right="-284" w:firstLine="851"/>
        <w:jc w:val="both"/>
        <w:rPr>
          <w:rFonts w:ascii="Arial" w:hAnsi="Arial" w:cs="Arial"/>
          <w:i/>
          <w:sz w:val="24"/>
          <w:szCs w:val="24"/>
        </w:rPr>
      </w:pPr>
      <w:r w:rsidRPr="00144DAE">
        <w:rPr>
          <w:rFonts w:ascii="Arial" w:hAnsi="Arial" w:cs="Arial"/>
          <w:b/>
          <w:i/>
          <w:sz w:val="24"/>
          <w:szCs w:val="24"/>
        </w:rPr>
        <w:t>“ARTÍCULO 97</w:t>
      </w:r>
      <w:r w:rsidRPr="00144DAE">
        <w:rPr>
          <w:rFonts w:ascii="Arial" w:hAnsi="Arial" w:cs="Arial"/>
          <w:i/>
          <w:sz w:val="24"/>
          <w:szCs w:val="24"/>
        </w:rPr>
        <w:t>.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144DAE">
        <w:rPr>
          <w:rFonts w:ascii="Arial" w:hAnsi="Arial" w:cs="Arial"/>
          <w:i/>
          <w:sz w:val="24"/>
          <w:szCs w:val="24"/>
          <w:u w:val="single"/>
        </w:rPr>
        <w:t>,</w:t>
      </w:r>
      <w:r w:rsidRPr="00144DAE">
        <w:rPr>
          <w:rFonts w:ascii="Arial" w:hAnsi="Arial" w:cs="Arial"/>
          <w:i/>
          <w:sz w:val="24"/>
          <w:szCs w:val="24"/>
        </w:rPr>
        <w:t xml:space="preserve"> podrán utilizarse como sustento de la motivación de las resoluciones que emitan”. </w:t>
      </w:r>
    </w:p>
    <w:p w:rsidR="008665B5" w:rsidRPr="00144DAE" w:rsidRDefault="008665B5" w:rsidP="008665B5">
      <w:pPr>
        <w:tabs>
          <w:tab w:val="left" w:pos="-142"/>
        </w:tabs>
        <w:spacing w:line="360" w:lineRule="auto"/>
        <w:ind w:right="-284" w:firstLine="851"/>
        <w:jc w:val="both"/>
        <w:rPr>
          <w:rFonts w:ascii="Arial" w:hAnsi="Arial" w:cs="Arial"/>
          <w:i/>
          <w:szCs w:val="24"/>
        </w:rPr>
      </w:pPr>
    </w:p>
    <w:p w:rsidR="008665B5" w:rsidRPr="00144DAE" w:rsidRDefault="008665B5" w:rsidP="008665B5">
      <w:pPr>
        <w:tabs>
          <w:tab w:val="left" w:pos="-142"/>
        </w:tabs>
        <w:spacing w:line="360" w:lineRule="auto"/>
        <w:ind w:right="-284" w:firstLine="851"/>
        <w:jc w:val="both"/>
        <w:rPr>
          <w:rFonts w:ascii="Arial" w:hAnsi="Arial" w:cs="Arial"/>
          <w:i/>
          <w:sz w:val="24"/>
          <w:szCs w:val="24"/>
        </w:rPr>
      </w:pPr>
      <w:r w:rsidRPr="00144DAE">
        <w:rPr>
          <w:rFonts w:ascii="Arial" w:hAnsi="Arial" w:cs="Arial"/>
          <w:i/>
          <w:sz w:val="24"/>
          <w:szCs w:val="24"/>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8665B5" w:rsidRPr="00144DAE" w:rsidRDefault="008665B5" w:rsidP="008665B5">
      <w:pPr>
        <w:widowControl/>
        <w:tabs>
          <w:tab w:val="left" w:pos="-142"/>
        </w:tabs>
        <w:spacing w:line="360" w:lineRule="auto"/>
        <w:ind w:right="-284" w:firstLine="851"/>
        <w:jc w:val="both"/>
        <w:rPr>
          <w:rFonts w:ascii="Arial" w:hAnsi="Arial" w:cs="Arial"/>
          <w:sz w:val="16"/>
          <w:szCs w:val="24"/>
        </w:rPr>
      </w:pPr>
    </w:p>
    <w:p w:rsidR="008665B5" w:rsidRPr="00144DAE" w:rsidRDefault="008665B5" w:rsidP="008665B5">
      <w:pPr>
        <w:widowControl/>
        <w:tabs>
          <w:tab w:val="left" w:pos="-142"/>
        </w:tabs>
        <w:spacing w:line="360" w:lineRule="auto"/>
        <w:ind w:right="-284" w:firstLine="851"/>
        <w:jc w:val="both"/>
        <w:rPr>
          <w:rFonts w:ascii="Arial" w:hAnsi="Arial" w:cs="Arial"/>
          <w:sz w:val="24"/>
          <w:szCs w:val="24"/>
          <w:lang w:val="es-MX" w:eastAsia="es-MX"/>
        </w:rPr>
      </w:pPr>
      <w:r w:rsidRPr="00144DAE">
        <w:rPr>
          <w:rFonts w:ascii="Arial" w:hAnsi="Arial" w:cs="Arial"/>
          <w:sz w:val="24"/>
          <w:szCs w:val="24"/>
        </w:rPr>
        <w:t>Del citado precepto se puede apreciar</w:t>
      </w:r>
      <w:r>
        <w:rPr>
          <w:rFonts w:ascii="Arial" w:hAnsi="Arial" w:cs="Arial"/>
          <w:sz w:val="24"/>
          <w:szCs w:val="24"/>
        </w:rPr>
        <w:t xml:space="preserve"> que la</w:t>
      </w:r>
      <w:r w:rsidRPr="00144DAE">
        <w:rPr>
          <w:rFonts w:ascii="Arial" w:hAnsi="Arial" w:cs="Arial"/>
          <w:sz w:val="24"/>
          <w:szCs w:val="24"/>
        </w:rPr>
        <w:t xml:space="preserve"> autoridad</w:t>
      </w:r>
      <w:r>
        <w:rPr>
          <w:rFonts w:ascii="Arial" w:hAnsi="Arial" w:cs="Arial"/>
          <w:sz w:val="24"/>
          <w:szCs w:val="24"/>
        </w:rPr>
        <w:t xml:space="preserve"> demandada</w:t>
      </w:r>
      <w:r w:rsidRPr="00144DAE">
        <w:rPr>
          <w:rFonts w:ascii="Arial" w:hAnsi="Arial" w:cs="Arial"/>
          <w:sz w:val="24"/>
          <w:szCs w:val="24"/>
        </w:rPr>
        <w:t xml:space="preserve"> no observo el derecho de audiencia y del debido proceso, consagrado en el segundo párrafo del artículo 14 de la Constitución Política de los Estados Unidos Mexicanos, entendido éste, el</w:t>
      </w:r>
      <w:r w:rsidRPr="00144DAE">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144DAE">
        <w:rPr>
          <w:rFonts w:ascii="Arial" w:hAnsi="Arial" w:cs="Arial"/>
          <w:sz w:val="24"/>
          <w:szCs w:val="24"/>
          <w:lang w:val="es-MX" w:eastAsia="es-MX"/>
        </w:rPr>
        <w:t xml:space="preserve"> el cual deberá</w:t>
      </w:r>
      <w:r w:rsidRPr="00144DAE">
        <w:rPr>
          <w:rFonts w:ascii="Arial" w:hAnsi="Arial" w:cs="Arial"/>
          <w:sz w:val="24"/>
          <w:szCs w:val="24"/>
          <w:shd w:val="clear" w:color="auto" w:fill="FFFFFF"/>
          <w:lang w:val="es-MX" w:eastAsia="es-MX"/>
        </w:rPr>
        <w:t xml:space="preserve"> contemplar las formalidades que garantizan una defensa adecuada, es decir: </w:t>
      </w:r>
      <w:r w:rsidRPr="00144DAE">
        <w:rPr>
          <w:rFonts w:ascii="Arial" w:hAnsi="Arial" w:cs="Arial"/>
          <w:b/>
          <w:sz w:val="24"/>
          <w:szCs w:val="24"/>
          <w:lang w:val="es-MX" w:eastAsia="es-MX"/>
        </w:rPr>
        <w:t>a)</w:t>
      </w:r>
      <w:r w:rsidRPr="00144DAE">
        <w:rPr>
          <w:rFonts w:ascii="Arial" w:hAnsi="Arial" w:cs="Arial"/>
          <w:sz w:val="24"/>
          <w:szCs w:val="24"/>
          <w:lang w:val="es-MX" w:eastAsia="es-MX"/>
        </w:rPr>
        <w:t xml:space="preserve">.- El aviso de inicio del procedimiento; </w:t>
      </w:r>
      <w:r w:rsidRPr="00144DAE">
        <w:rPr>
          <w:rFonts w:ascii="Arial" w:hAnsi="Arial" w:cs="Arial"/>
          <w:b/>
          <w:sz w:val="24"/>
          <w:szCs w:val="24"/>
          <w:lang w:val="es-MX" w:eastAsia="es-MX"/>
        </w:rPr>
        <w:t>b)</w:t>
      </w:r>
      <w:r w:rsidRPr="00144DAE">
        <w:rPr>
          <w:rFonts w:ascii="Arial" w:hAnsi="Arial" w:cs="Arial"/>
          <w:sz w:val="24"/>
          <w:szCs w:val="24"/>
          <w:lang w:val="es-MX" w:eastAsia="es-MX"/>
        </w:rPr>
        <w:t xml:space="preserve">.- La oportunidad de ofrecer las pruebas y alegar; </w:t>
      </w:r>
      <w:r w:rsidRPr="00144DAE">
        <w:rPr>
          <w:rFonts w:ascii="Arial" w:hAnsi="Arial" w:cs="Arial"/>
          <w:b/>
          <w:sz w:val="24"/>
          <w:szCs w:val="24"/>
          <w:lang w:val="es-MX" w:eastAsia="es-MX"/>
        </w:rPr>
        <w:t>c)</w:t>
      </w:r>
      <w:r w:rsidRPr="00144DAE">
        <w:rPr>
          <w:rFonts w:ascii="Arial" w:hAnsi="Arial" w:cs="Arial"/>
          <w:sz w:val="24"/>
          <w:szCs w:val="24"/>
          <w:lang w:val="es-MX" w:eastAsia="es-MX"/>
        </w:rPr>
        <w:t xml:space="preserve">.- Una resolución que resuelva las cuestiones debatidas; y, </w:t>
      </w:r>
      <w:r w:rsidRPr="00144DAE">
        <w:rPr>
          <w:rFonts w:ascii="Arial" w:hAnsi="Arial" w:cs="Arial"/>
          <w:b/>
          <w:sz w:val="24"/>
          <w:szCs w:val="24"/>
          <w:lang w:val="es-MX" w:eastAsia="es-MX"/>
        </w:rPr>
        <w:t>d)</w:t>
      </w:r>
      <w:r w:rsidRPr="00144DAE">
        <w:rPr>
          <w:rFonts w:ascii="Arial" w:hAnsi="Arial" w:cs="Arial"/>
          <w:sz w:val="24"/>
          <w:szCs w:val="24"/>
          <w:lang w:val="es-MX" w:eastAsia="es-MX"/>
        </w:rPr>
        <w:t xml:space="preserve"> La posibilidad de reclamar la resolución mediante un recurso eficaz. </w:t>
      </w:r>
    </w:p>
    <w:p w:rsidR="008665B5" w:rsidRPr="00144DAE" w:rsidRDefault="008665B5" w:rsidP="008665B5">
      <w:pPr>
        <w:widowControl/>
        <w:tabs>
          <w:tab w:val="left" w:pos="-142"/>
        </w:tabs>
        <w:spacing w:line="360" w:lineRule="auto"/>
        <w:ind w:right="-284" w:firstLine="851"/>
        <w:jc w:val="both"/>
        <w:rPr>
          <w:rFonts w:ascii="Arial" w:hAnsi="Arial" w:cs="Arial"/>
          <w:sz w:val="24"/>
          <w:szCs w:val="24"/>
          <w:lang w:val="es-MX" w:eastAsia="es-MX"/>
        </w:rPr>
      </w:pPr>
    </w:p>
    <w:p w:rsidR="008665B5" w:rsidRPr="00144DAE" w:rsidRDefault="008665B5" w:rsidP="008665B5">
      <w:pPr>
        <w:widowControl/>
        <w:tabs>
          <w:tab w:val="left" w:pos="-142"/>
        </w:tabs>
        <w:spacing w:line="360" w:lineRule="auto"/>
        <w:ind w:right="-284" w:firstLine="851"/>
        <w:jc w:val="both"/>
        <w:rPr>
          <w:rFonts w:ascii="Arial" w:hAnsi="Arial" w:cs="Arial"/>
          <w:sz w:val="24"/>
          <w:szCs w:val="24"/>
          <w:lang w:val="es-MX" w:eastAsia="es-MX"/>
        </w:rPr>
      </w:pPr>
      <w:r w:rsidRPr="00144DAE">
        <w:rPr>
          <w:rFonts w:ascii="Arial" w:hAnsi="Arial" w:cs="Arial"/>
          <w:sz w:val="24"/>
          <w:szCs w:val="24"/>
          <w:lang w:val="es-MX" w:eastAsia="es-MX"/>
        </w:rPr>
        <w:t xml:space="preserve">Sirve de apoyo la </w:t>
      </w:r>
      <w:r w:rsidRPr="00144DAE">
        <w:rPr>
          <w:rFonts w:ascii="Arial" w:hAnsi="Arial" w:cs="Arial"/>
          <w:sz w:val="24"/>
          <w:szCs w:val="24"/>
        </w:rPr>
        <w:t>jurisprudencia P</w:t>
      </w:r>
      <w:proofErr w:type="gramStart"/>
      <w:r w:rsidRPr="00144DAE">
        <w:rPr>
          <w:rFonts w:ascii="Arial" w:hAnsi="Arial" w:cs="Arial"/>
          <w:sz w:val="24"/>
          <w:szCs w:val="24"/>
        </w:rPr>
        <w:t>./</w:t>
      </w:r>
      <w:proofErr w:type="gramEnd"/>
      <w:r w:rsidRPr="00144DAE">
        <w:rPr>
          <w:rFonts w:ascii="Arial" w:hAnsi="Arial" w:cs="Arial"/>
          <w:sz w:val="24"/>
          <w:szCs w:val="24"/>
        </w:rPr>
        <w:t xml:space="preserve">J. 47/95, publicada en el Semanario Judicial de la Federación y su Gaceta, Novena Época, Tomo II, diciembre de 1995, página 133, de rubro: </w:t>
      </w:r>
    </w:p>
    <w:p w:rsidR="008665B5" w:rsidRPr="00144DAE" w:rsidRDefault="008665B5" w:rsidP="008665B5">
      <w:pPr>
        <w:widowControl/>
        <w:tabs>
          <w:tab w:val="left" w:pos="-142"/>
        </w:tabs>
        <w:spacing w:line="360" w:lineRule="auto"/>
        <w:ind w:right="-284" w:firstLine="851"/>
        <w:jc w:val="both"/>
        <w:rPr>
          <w:rFonts w:ascii="Arial" w:hAnsi="Arial" w:cs="Arial"/>
          <w:sz w:val="24"/>
          <w:szCs w:val="24"/>
          <w:lang w:val="es-MX" w:eastAsia="es-MX"/>
        </w:rPr>
      </w:pPr>
    </w:p>
    <w:p w:rsidR="008665B5" w:rsidRPr="00144DAE" w:rsidRDefault="008665B5" w:rsidP="008665B5">
      <w:pPr>
        <w:widowControl/>
        <w:tabs>
          <w:tab w:val="left" w:pos="-142"/>
        </w:tabs>
        <w:spacing w:line="276" w:lineRule="auto"/>
        <w:ind w:right="-284" w:firstLine="851"/>
        <w:jc w:val="both"/>
        <w:rPr>
          <w:rFonts w:ascii="Arial" w:hAnsi="Arial" w:cs="Arial"/>
          <w:sz w:val="24"/>
          <w:szCs w:val="24"/>
        </w:rPr>
      </w:pPr>
      <w:r w:rsidRPr="00144DAE">
        <w:rPr>
          <w:rFonts w:ascii="Arial" w:hAnsi="Arial" w:cs="Arial"/>
          <w:b/>
          <w:i/>
          <w:sz w:val="24"/>
          <w:szCs w:val="24"/>
        </w:rPr>
        <w:t>“FORMALIDADES ESENCIALES DEL PROCEDIMIENTO. SON LAS QUE GARANTIZAN UNA ADECUADA Y OPORTUNA DEFENSA PREVIA AL ACTO PRIVATIVO</w:t>
      </w:r>
      <w:r w:rsidRPr="00144DAE">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w:t>
      </w:r>
      <w:r w:rsidRPr="00144DAE">
        <w:rPr>
          <w:rFonts w:ascii="Arial" w:hAnsi="Arial" w:cs="Arial"/>
          <w:i/>
          <w:sz w:val="24"/>
          <w:szCs w:val="24"/>
        </w:rPr>
        <w:lastRenderedPageBreak/>
        <w:t xml:space="preserve">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144DAE">
        <w:rPr>
          <w:rFonts w:ascii="Arial" w:hAnsi="Arial" w:cs="Arial"/>
          <w:b/>
          <w:i/>
          <w:sz w:val="24"/>
          <w:szCs w:val="24"/>
        </w:rPr>
        <w:t>De no respetarse estos requisitos, se dejaría de cumplir con el fin de la garantía de audiencia, que es evitar la indefensión del afectado”</w:t>
      </w:r>
      <w:r w:rsidRPr="00144DAE">
        <w:rPr>
          <w:rFonts w:ascii="Arial" w:hAnsi="Arial" w:cs="Arial"/>
          <w:i/>
          <w:sz w:val="24"/>
          <w:szCs w:val="24"/>
        </w:rPr>
        <w:t>.</w:t>
      </w:r>
      <w:r w:rsidRPr="00144DAE">
        <w:rPr>
          <w:rFonts w:ascii="Arial" w:hAnsi="Arial" w:cs="Arial"/>
          <w:sz w:val="24"/>
          <w:szCs w:val="24"/>
        </w:rPr>
        <w:t xml:space="preserve"> (Lo remarco es propio) </w:t>
      </w:r>
    </w:p>
    <w:p w:rsidR="008665B5" w:rsidRPr="00144DAE" w:rsidRDefault="008665B5" w:rsidP="008665B5">
      <w:pPr>
        <w:widowControl/>
        <w:tabs>
          <w:tab w:val="left" w:pos="-142"/>
        </w:tabs>
        <w:spacing w:line="360" w:lineRule="auto"/>
        <w:ind w:right="-284" w:firstLine="851"/>
        <w:jc w:val="both"/>
        <w:rPr>
          <w:rFonts w:ascii="Arial" w:hAnsi="Arial" w:cs="Arial"/>
          <w:sz w:val="24"/>
          <w:szCs w:val="24"/>
        </w:rPr>
      </w:pPr>
    </w:p>
    <w:p w:rsidR="008665B5" w:rsidRPr="00144DAE" w:rsidRDefault="008665B5" w:rsidP="008665B5">
      <w:pPr>
        <w:widowControl/>
        <w:tabs>
          <w:tab w:val="left" w:pos="-142"/>
        </w:tabs>
        <w:spacing w:line="360" w:lineRule="auto"/>
        <w:ind w:right="-284" w:firstLine="851"/>
        <w:jc w:val="both"/>
        <w:rPr>
          <w:rFonts w:ascii="Arial" w:hAnsi="Arial" w:cs="Arial"/>
          <w:sz w:val="24"/>
          <w:szCs w:val="24"/>
        </w:rPr>
      </w:pPr>
      <w:r w:rsidRPr="00144DAE">
        <w:rPr>
          <w:rFonts w:ascii="Arial" w:hAnsi="Arial" w:cs="Arial"/>
          <w:sz w:val="24"/>
          <w:szCs w:val="24"/>
        </w:rPr>
        <w:t>En ese sent</w:t>
      </w:r>
      <w:r>
        <w:rPr>
          <w:rFonts w:ascii="Arial" w:hAnsi="Arial" w:cs="Arial"/>
          <w:sz w:val="24"/>
          <w:szCs w:val="24"/>
        </w:rPr>
        <w:t>ido, la autoridad demandada</w:t>
      </w:r>
      <w:r w:rsidRPr="00144DAE">
        <w:rPr>
          <w:rFonts w:ascii="Arial" w:hAnsi="Arial" w:cs="Arial"/>
          <w:sz w:val="24"/>
          <w:szCs w:val="24"/>
        </w:rPr>
        <w:t xml:space="preserve"> una vez que hubiese identificado a la persona moral por la información proporcionada como sujeto al referido impuesto debió correr traslado al afectado y concederle el plazo de quince días, a efecto de poder manifestar lo 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que dejó en estado indefensión al actor al no darle a  conocer los documentos o información recabada. </w:t>
      </w:r>
    </w:p>
    <w:p w:rsidR="008665B5" w:rsidRPr="00144DAE" w:rsidRDefault="008665B5" w:rsidP="008665B5">
      <w:pPr>
        <w:widowControl/>
        <w:tabs>
          <w:tab w:val="left" w:pos="-142"/>
        </w:tabs>
        <w:spacing w:line="360" w:lineRule="auto"/>
        <w:ind w:right="-284" w:firstLine="851"/>
        <w:jc w:val="both"/>
        <w:rPr>
          <w:rFonts w:ascii="Arial" w:hAnsi="Arial" w:cs="Arial"/>
          <w:sz w:val="24"/>
          <w:szCs w:val="24"/>
        </w:rPr>
      </w:pPr>
    </w:p>
    <w:p w:rsidR="008665B5" w:rsidRPr="00144DAE" w:rsidRDefault="008665B5" w:rsidP="008665B5">
      <w:pPr>
        <w:widowControl/>
        <w:tabs>
          <w:tab w:val="left" w:pos="-142"/>
        </w:tabs>
        <w:spacing w:line="360" w:lineRule="auto"/>
        <w:ind w:right="-284" w:firstLine="851"/>
        <w:jc w:val="both"/>
        <w:rPr>
          <w:rFonts w:ascii="Arial" w:hAnsi="Arial" w:cs="Arial"/>
          <w:sz w:val="24"/>
          <w:szCs w:val="24"/>
        </w:rPr>
      </w:pPr>
      <w:r w:rsidRPr="00144DAE">
        <w:rPr>
          <w:rFonts w:ascii="Arial" w:hAnsi="Arial" w:cs="Arial"/>
          <w:sz w:val="24"/>
          <w:szCs w:val="24"/>
        </w:rPr>
        <w:t>Sirve de sustento la tesis aislada del Tribunal Colegiado de Circuito, Semanario Judicial de la Federación y su Gaceta, Época novena, materia administrativa, Tesis: IV.2º. A.69.A, página: 1535, cuyo rubro y texto es el siguiente:</w:t>
      </w:r>
    </w:p>
    <w:p w:rsidR="008665B5" w:rsidRPr="00144DAE" w:rsidRDefault="008665B5" w:rsidP="008665B5">
      <w:pPr>
        <w:widowControl/>
        <w:tabs>
          <w:tab w:val="left" w:pos="-142"/>
        </w:tabs>
        <w:spacing w:line="360" w:lineRule="auto"/>
        <w:ind w:right="-284" w:firstLine="851"/>
        <w:jc w:val="both"/>
        <w:rPr>
          <w:rFonts w:ascii="Arial" w:hAnsi="Arial" w:cs="Arial"/>
          <w:sz w:val="24"/>
          <w:szCs w:val="24"/>
        </w:rPr>
      </w:pPr>
    </w:p>
    <w:p w:rsidR="008665B5" w:rsidRPr="00144DAE" w:rsidRDefault="008665B5" w:rsidP="008665B5">
      <w:pPr>
        <w:widowControl/>
        <w:tabs>
          <w:tab w:val="left" w:pos="-142"/>
        </w:tabs>
        <w:spacing w:line="276" w:lineRule="auto"/>
        <w:ind w:right="-284" w:firstLine="851"/>
        <w:jc w:val="both"/>
        <w:rPr>
          <w:rFonts w:ascii="Arial" w:hAnsi="Arial" w:cs="Arial"/>
          <w:sz w:val="24"/>
          <w:szCs w:val="24"/>
        </w:rPr>
      </w:pPr>
      <w:r w:rsidRPr="00144DAE">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144DAE">
        <w:rPr>
          <w:rFonts w:ascii="Arial" w:hAnsi="Arial" w:cs="Arial"/>
          <w:i/>
          <w:sz w:val="24"/>
          <w:szCs w:val="24"/>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r w:rsidRPr="00144DAE">
        <w:rPr>
          <w:rFonts w:ascii="Arial" w:hAnsi="Arial" w:cs="Arial"/>
          <w:sz w:val="24"/>
          <w:szCs w:val="24"/>
        </w:rPr>
        <w:t>”.</w:t>
      </w:r>
    </w:p>
    <w:p w:rsidR="008665B5" w:rsidRPr="00144DAE" w:rsidRDefault="008665B5" w:rsidP="008665B5">
      <w:pPr>
        <w:tabs>
          <w:tab w:val="left" w:pos="-142"/>
        </w:tabs>
        <w:spacing w:line="360" w:lineRule="auto"/>
        <w:ind w:right="-284" w:firstLine="851"/>
        <w:jc w:val="both"/>
        <w:rPr>
          <w:rFonts w:ascii="Arial" w:hAnsi="Arial" w:cs="Arial"/>
          <w:sz w:val="24"/>
          <w:szCs w:val="24"/>
        </w:rPr>
      </w:pPr>
    </w:p>
    <w:p w:rsidR="008665B5" w:rsidRPr="00144DAE" w:rsidRDefault="008665B5" w:rsidP="008665B5">
      <w:pPr>
        <w:tabs>
          <w:tab w:val="left" w:pos="-142"/>
        </w:tabs>
        <w:spacing w:line="360" w:lineRule="auto"/>
        <w:ind w:right="-284" w:firstLine="851"/>
        <w:jc w:val="both"/>
        <w:rPr>
          <w:rFonts w:ascii="Arial" w:hAnsi="Arial" w:cs="Arial"/>
          <w:sz w:val="24"/>
          <w:szCs w:val="24"/>
        </w:rPr>
      </w:pPr>
      <w:r w:rsidRPr="00144DAE">
        <w:rPr>
          <w:rFonts w:ascii="Arial" w:hAnsi="Arial" w:cs="Arial"/>
          <w:sz w:val="24"/>
          <w:szCs w:val="24"/>
        </w:rPr>
        <w:lastRenderedPageBreak/>
        <w:t xml:space="preserve"> Ahora, continuando con el análisis de la multa se advierte que la autoridad señala que la persona moral se colocó en el supuesto contemplado por el artículo 64, en correlación con el diversos 268, fracción I, del Código Fiscal para el Estado de Oaxaca, para mayor comprensión se transcribe:</w:t>
      </w:r>
    </w:p>
    <w:p w:rsidR="008665B5" w:rsidRPr="00144DAE" w:rsidRDefault="008665B5" w:rsidP="008665B5">
      <w:pPr>
        <w:tabs>
          <w:tab w:val="left" w:pos="-142"/>
        </w:tabs>
        <w:spacing w:line="360" w:lineRule="auto"/>
        <w:ind w:right="-284" w:firstLine="851"/>
        <w:jc w:val="both"/>
        <w:rPr>
          <w:rFonts w:ascii="Arial" w:hAnsi="Arial" w:cs="Arial"/>
          <w:sz w:val="24"/>
          <w:szCs w:val="24"/>
        </w:rPr>
      </w:pPr>
    </w:p>
    <w:p w:rsidR="008665B5" w:rsidRPr="00144DAE" w:rsidRDefault="008665B5" w:rsidP="008665B5">
      <w:pPr>
        <w:tabs>
          <w:tab w:val="left" w:pos="-142"/>
        </w:tabs>
        <w:spacing w:line="360" w:lineRule="auto"/>
        <w:ind w:right="-284" w:firstLine="851"/>
        <w:jc w:val="both"/>
        <w:rPr>
          <w:rFonts w:ascii="Arial" w:hAnsi="Arial" w:cs="Arial"/>
          <w:sz w:val="24"/>
          <w:szCs w:val="24"/>
        </w:rPr>
      </w:pPr>
      <w:r w:rsidRPr="00144DAE">
        <w:rPr>
          <w:rFonts w:ascii="Arial" w:hAnsi="Arial" w:cs="Arial"/>
          <w:i/>
          <w:sz w:val="24"/>
          <w:szCs w:val="24"/>
        </w:rPr>
        <w:t xml:space="preserve"> “ARTÍCULO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8665B5" w:rsidRPr="00144DAE" w:rsidRDefault="008665B5" w:rsidP="008665B5">
      <w:pPr>
        <w:tabs>
          <w:tab w:val="left" w:pos="-142"/>
        </w:tabs>
        <w:spacing w:line="360" w:lineRule="auto"/>
        <w:ind w:right="-284" w:firstLine="851"/>
        <w:jc w:val="both"/>
        <w:rPr>
          <w:rFonts w:ascii="Arial" w:hAnsi="Arial" w:cs="Arial"/>
          <w:sz w:val="12"/>
          <w:szCs w:val="24"/>
        </w:rPr>
      </w:pPr>
    </w:p>
    <w:p w:rsidR="008665B5" w:rsidRPr="00144DAE" w:rsidRDefault="008665B5" w:rsidP="008665B5">
      <w:pPr>
        <w:tabs>
          <w:tab w:val="left" w:pos="-142"/>
        </w:tabs>
        <w:spacing w:line="360" w:lineRule="auto"/>
        <w:ind w:right="-284" w:firstLine="851"/>
        <w:jc w:val="both"/>
        <w:rPr>
          <w:rFonts w:ascii="Arial" w:hAnsi="Arial" w:cs="Arial"/>
          <w:sz w:val="24"/>
          <w:szCs w:val="24"/>
        </w:rPr>
      </w:pPr>
      <w:r w:rsidRPr="00144DAE">
        <w:rPr>
          <w:rFonts w:ascii="Arial" w:hAnsi="Arial" w:cs="Arial"/>
          <w:i/>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8665B5" w:rsidRPr="00144DAE" w:rsidRDefault="008665B5" w:rsidP="008665B5">
      <w:pPr>
        <w:tabs>
          <w:tab w:val="left" w:pos="-142"/>
        </w:tabs>
        <w:spacing w:line="360" w:lineRule="auto"/>
        <w:ind w:right="-284" w:firstLine="851"/>
        <w:jc w:val="both"/>
        <w:rPr>
          <w:rFonts w:ascii="Arial" w:hAnsi="Arial" w:cs="Arial"/>
          <w:sz w:val="24"/>
          <w:szCs w:val="24"/>
        </w:rPr>
      </w:pPr>
    </w:p>
    <w:p w:rsidR="008665B5" w:rsidRPr="00144DAE" w:rsidRDefault="008665B5" w:rsidP="008665B5">
      <w:pPr>
        <w:tabs>
          <w:tab w:val="left" w:pos="-142"/>
        </w:tabs>
        <w:spacing w:line="360" w:lineRule="auto"/>
        <w:ind w:right="-284" w:firstLine="851"/>
        <w:jc w:val="both"/>
        <w:rPr>
          <w:rFonts w:ascii="Arial" w:hAnsi="Arial" w:cs="Arial"/>
          <w:i/>
          <w:sz w:val="24"/>
          <w:szCs w:val="24"/>
        </w:rPr>
      </w:pPr>
      <w:r w:rsidRPr="00144DAE">
        <w:rPr>
          <w:rFonts w:ascii="Arial" w:hAnsi="Arial" w:cs="Arial"/>
          <w:i/>
          <w:sz w:val="24"/>
          <w:szCs w:val="24"/>
        </w:rPr>
        <w:t>“ARTÍCULO 268. Son infracciones relacionadas con el registro estatal de contribuyentes las siguientes:</w:t>
      </w:r>
    </w:p>
    <w:p w:rsidR="008665B5" w:rsidRPr="00144DAE" w:rsidRDefault="008665B5" w:rsidP="008665B5">
      <w:pPr>
        <w:tabs>
          <w:tab w:val="left" w:pos="-142"/>
        </w:tabs>
        <w:spacing w:line="360" w:lineRule="auto"/>
        <w:ind w:right="-284" w:firstLine="851"/>
        <w:jc w:val="both"/>
        <w:rPr>
          <w:rFonts w:ascii="Arial" w:hAnsi="Arial" w:cs="Arial"/>
          <w:i/>
          <w:sz w:val="24"/>
          <w:szCs w:val="24"/>
        </w:rPr>
      </w:pPr>
    </w:p>
    <w:p w:rsidR="008665B5" w:rsidRPr="00144DAE" w:rsidRDefault="008665B5" w:rsidP="008665B5">
      <w:pPr>
        <w:tabs>
          <w:tab w:val="left" w:pos="-142"/>
        </w:tabs>
        <w:spacing w:line="360" w:lineRule="auto"/>
        <w:ind w:right="-284" w:firstLine="851"/>
        <w:jc w:val="both"/>
        <w:rPr>
          <w:rFonts w:ascii="Arial" w:hAnsi="Arial" w:cs="Arial"/>
          <w:sz w:val="24"/>
          <w:szCs w:val="24"/>
        </w:rPr>
      </w:pPr>
      <w:r w:rsidRPr="00144DAE">
        <w:rPr>
          <w:rFonts w:ascii="Arial" w:hAnsi="Arial" w:cs="Arial"/>
          <w:i/>
          <w:sz w:val="24"/>
          <w:szCs w:val="24"/>
        </w:rPr>
        <w:t xml:space="preserve"> I. No solicitar la inscripción cuando se está obligado a ello o hacerlo extemporáneamente; se impondrá una multa de cincuenta a cien veces el valor de la Unidad de Medida y Actualización vigente”.</w:t>
      </w:r>
    </w:p>
    <w:p w:rsidR="008665B5" w:rsidRPr="00144DAE" w:rsidRDefault="008665B5" w:rsidP="008665B5">
      <w:pPr>
        <w:tabs>
          <w:tab w:val="left" w:pos="-142"/>
        </w:tabs>
        <w:spacing w:line="360" w:lineRule="auto"/>
        <w:ind w:right="-284" w:firstLine="851"/>
        <w:jc w:val="both"/>
        <w:rPr>
          <w:rFonts w:ascii="Arial" w:hAnsi="Arial" w:cs="Arial"/>
          <w:sz w:val="14"/>
          <w:szCs w:val="24"/>
        </w:rPr>
      </w:pPr>
    </w:p>
    <w:p w:rsidR="008665B5" w:rsidRPr="002A3235" w:rsidRDefault="008665B5" w:rsidP="008665B5">
      <w:pPr>
        <w:tabs>
          <w:tab w:val="left" w:pos="-142"/>
        </w:tabs>
        <w:spacing w:line="360" w:lineRule="auto"/>
        <w:ind w:right="-284" w:firstLine="851"/>
        <w:jc w:val="both"/>
        <w:rPr>
          <w:rFonts w:ascii="Arial" w:hAnsi="Arial" w:cs="Arial"/>
          <w:sz w:val="24"/>
          <w:szCs w:val="24"/>
        </w:rPr>
      </w:pPr>
      <w:r w:rsidRPr="002A3235">
        <w:rPr>
          <w:rFonts w:ascii="Arial" w:hAnsi="Arial" w:cs="Arial"/>
          <w:sz w:val="24"/>
          <w:szCs w:val="24"/>
        </w:rPr>
        <w:t xml:space="preserve">Por lo anterior, resulta fundado el agravio hecho valer por el actor </w:t>
      </w:r>
      <w:r>
        <w:rPr>
          <w:rFonts w:ascii="Arial" w:hAnsi="Arial" w:cs="Arial"/>
          <w:sz w:val="24"/>
          <w:szCs w:val="24"/>
        </w:rPr>
        <w:t>**********</w:t>
      </w:r>
      <w:r w:rsidRPr="002A3235">
        <w:rPr>
          <w:rFonts w:ascii="Arial" w:hAnsi="Arial" w:cs="Arial"/>
          <w:sz w:val="24"/>
          <w:szCs w:val="24"/>
        </w:rPr>
        <w:t xml:space="preserve">., en el sentido que se advierte que la autoridad demandada omitió en la multa impugnada señalar las razones de qué forma confirmó fehacientemente que la persona moral </w:t>
      </w:r>
      <w:r>
        <w:rPr>
          <w:rFonts w:ascii="Arial" w:hAnsi="Arial" w:cs="Arial"/>
          <w:sz w:val="24"/>
          <w:szCs w:val="24"/>
        </w:rPr>
        <w:t>**********</w:t>
      </w:r>
      <w:r w:rsidRPr="002A3235">
        <w:rPr>
          <w:rFonts w:ascii="Arial" w:hAnsi="Arial" w:cs="Arial"/>
          <w:sz w:val="24"/>
          <w:szCs w:val="24"/>
        </w:rPr>
        <w:t xml:space="preserve">, estaba obligada al pago del </w:t>
      </w:r>
      <w:r w:rsidRPr="002A3235">
        <w:rPr>
          <w:rFonts w:ascii="Arial" w:hAnsi="Arial" w:cs="Arial"/>
          <w:b/>
          <w:sz w:val="24"/>
          <w:szCs w:val="24"/>
        </w:rPr>
        <w:t>IMPUESTO SOBRE EROGACIONES POR REMUNERACIONES AL TRABAJO PERSONAL</w:t>
      </w:r>
      <w:r w:rsidRPr="002A3235">
        <w:rPr>
          <w:rFonts w:ascii="Arial" w:hAnsi="Arial" w:cs="Arial"/>
          <w:sz w:val="24"/>
          <w:szCs w:val="24"/>
        </w:rPr>
        <w:t>, al no indicar los antecedentes específicos que se tenían para considerarlo sujeto de ese impuesto y al no señalarlos en el cuerpo del acto de autoridad provoca la ilegalidad de la resolución, al confirmar un requerimiento realizado de manera incorrecta, al no acatarse a lo dispuesto por el artículo 17 fracción V, de  la Ley de Procedimiento</w:t>
      </w:r>
      <w:r>
        <w:rPr>
          <w:rFonts w:ascii="Arial" w:hAnsi="Arial" w:cs="Arial"/>
          <w:sz w:val="24"/>
          <w:szCs w:val="24"/>
        </w:rPr>
        <w:t xml:space="preserve"> y Justicia Administrativa</w:t>
      </w:r>
      <w:r w:rsidRPr="002A3235">
        <w:rPr>
          <w:rFonts w:ascii="Arial" w:hAnsi="Arial" w:cs="Arial"/>
          <w:sz w:val="24"/>
          <w:szCs w:val="24"/>
        </w:rPr>
        <w:t xml:space="preserve"> del Estado, por carecer de la debida fundamentación y motivación, de donde en términos del artículo 208 fracción II y VI, de la Ley de la materia, procede a </w:t>
      </w:r>
      <w:r w:rsidRPr="002A3235">
        <w:rPr>
          <w:rFonts w:ascii="Arial" w:hAnsi="Arial" w:cs="Arial"/>
          <w:b/>
          <w:sz w:val="24"/>
          <w:szCs w:val="24"/>
        </w:rPr>
        <w:t xml:space="preserve">DECLARAR LA NULIDAD LISA Y LLANA, </w:t>
      </w:r>
      <w:r w:rsidRPr="002A3235">
        <w:rPr>
          <w:rFonts w:ascii="Arial" w:hAnsi="Arial" w:cs="Arial"/>
          <w:sz w:val="24"/>
          <w:szCs w:val="24"/>
        </w:rPr>
        <w:t xml:space="preserve">de la multa por infracción identificada con el número de control </w:t>
      </w:r>
      <w:r>
        <w:rPr>
          <w:rFonts w:ascii="Arial" w:hAnsi="Arial" w:cs="Arial"/>
          <w:sz w:val="24"/>
          <w:szCs w:val="24"/>
        </w:rPr>
        <w:t>**********</w:t>
      </w:r>
      <w:r w:rsidRPr="002A3235">
        <w:rPr>
          <w:rFonts w:ascii="Arial" w:hAnsi="Arial" w:cs="Arial"/>
          <w:sz w:val="24"/>
          <w:szCs w:val="24"/>
        </w:rPr>
        <w:t xml:space="preserve">, de fecha ocho de agosto </w:t>
      </w:r>
      <w:r w:rsidRPr="002A3235">
        <w:rPr>
          <w:rFonts w:ascii="Arial" w:hAnsi="Arial" w:cs="Arial"/>
          <w:sz w:val="24"/>
          <w:szCs w:val="24"/>
        </w:rPr>
        <w:lastRenderedPageBreak/>
        <w:t>de dos mil diecisiete, emitida por la Directora de Ingresos y Recaudación de la Secretaría de Finanzas del Gobierno del Estado de Oaxaca, por las razones ya expuestas.</w:t>
      </w:r>
    </w:p>
    <w:p w:rsidR="008665B5" w:rsidRPr="00144DAE" w:rsidRDefault="008665B5" w:rsidP="008665B5">
      <w:pPr>
        <w:tabs>
          <w:tab w:val="left" w:pos="-142"/>
        </w:tabs>
        <w:spacing w:line="360" w:lineRule="auto"/>
        <w:ind w:right="-284" w:firstLine="851"/>
        <w:jc w:val="both"/>
        <w:rPr>
          <w:rFonts w:ascii="Arial" w:hAnsi="Arial" w:cs="Arial"/>
          <w:sz w:val="8"/>
          <w:szCs w:val="24"/>
        </w:rPr>
      </w:pPr>
    </w:p>
    <w:p w:rsidR="008665B5" w:rsidRPr="00144DAE" w:rsidRDefault="008665B5" w:rsidP="008665B5">
      <w:pPr>
        <w:tabs>
          <w:tab w:val="left" w:pos="-142"/>
        </w:tabs>
        <w:spacing w:line="360" w:lineRule="auto"/>
        <w:ind w:right="-284" w:firstLine="851"/>
        <w:jc w:val="both"/>
        <w:rPr>
          <w:rFonts w:ascii="Arial" w:hAnsi="Arial" w:cs="Arial"/>
          <w:sz w:val="24"/>
          <w:szCs w:val="24"/>
        </w:rPr>
      </w:pPr>
      <w:r w:rsidRPr="00144DAE">
        <w:rPr>
          <w:rFonts w:ascii="Arial" w:hAnsi="Arial" w:cs="Arial"/>
          <w:sz w:val="24"/>
          <w:szCs w:val="24"/>
        </w:rPr>
        <w:t>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8665B5" w:rsidRPr="00144DAE" w:rsidRDefault="008665B5" w:rsidP="008665B5">
      <w:pPr>
        <w:tabs>
          <w:tab w:val="left" w:pos="-142"/>
        </w:tabs>
        <w:spacing w:line="276" w:lineRule="auto"/>
        <w:ind w:right="-284" w:firstLine="851"/>
        <w:jc w:val="both"/>
        <w:rPr>
          <w:rFonts w:ascii="Arial" w:hAnsi="Arial" w:cs="Arial"/>
          <w:sz w:val="24"/>
          <w:szCs w:val="24"/>
        </w:rPr>
      </w:pPr>
      <w:r w:rsidRPr="00144DAE">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144DAE">
        <w:rPr>
          <w:rFonts w:ascii="Arial" w:hAnsi="Arial" w:cs="Arial"/>
          <w:i/>
          <w:sz w:val="24"/>
          <w:szCs w:val="24"/>
        </w:rPr>
        <w:t>. La Segunda Sala de la Suprema Corte de Justicia de la Nación al resolver la contradicción de tesis 158/2005-SS, de la que derivó la jurisprudencia 2a</w:t>
      </w:r>
      <w:proofErr w:type="gramStart"/>
      <w:r w:rsidRPr="00144DAE">
        <w:rPr>
          <w:rFonts w:ascii="Arial" w:hAnsi="Arial" w:cs="Arial"/>
          <w:i/>
          <w:sz w:val="24"/>
          <w:szCs w:val="24"/>
        </w:rPr>
        <w:t>./</w:t>
      </w:r>
      <w:proofErr w:type="gramEnd"/>
      <w:r w:rsidRPr="00144DAE">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144DAE">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144DAE">
        <w:rPr>
          <w:rFonts w:ascii="Arial" w:hAnsi="Arial" w:cs="Arial"/>
          <w:i/>
          <w:sz w:val="24"/>
          <w:szCs w:val="24"/>
        </w:rPr>
        <w:t xml:space="preserve">como lo estatuye la fracción II del artículo 52 de la Ley Federal de Procedimiento Contencioso Administrativo”. </w:t>
      </w:r>
      <w:r w:rsidRPr="00144DAE">
        <w:rPr>
          <w:rFonts w:ascii="Arial" w:hAnsi="Arial" w:cs="Arial"/>
          <w:sz w:val="24"/>
          <w:szCs w:val="24"/>
        </w:rPr>
        <w:t xml:space="preserve">(Lo remarcado es propio) </w:t>
      </w:r>
    </w:p>
    <w:p w:rsidR="008665B5" w:rsidRPr="00144DAE" w:rsidRDefault="008665B5" w:rsidP="008665B5">
      <w:pPr>
        <w:tabs>
          <w:tab w:val="left" w:pos="-142"/>
        </w:tabs>
        <w:spacing w:line="360" w:lineRule="auto"/>
        <w:ind w:right="-284" w:firstLine="851"/>
        <w:jc w:val="both"/>
        <w:rPr>
          <w:rFonts w:ascii="Arial" w:hAnsi="Arial" w:cs="Arial"/>
          <w:sz w:val="18"/>
          <w:szCs w:val="24"/>
        </w:rPr>
      </w:pPr>
    </w:p>
    <w:p w:rsidR="008665B5" w:rsidRPr="00144DAE" w:rsidRDefault="008665B5" w:rsidP="008665B5">
      <w:pPr>
        <w:tabs>
          <w:tab w:val="left" w:pos="-142"/>
          <w:tab w:val="left" w:pos="8789"/>
        </w:tabs>
        <w:suppressAutoHyphens/>
        <w:spacing w:line="360" w:lineRule="auto"/>
        <w:ind w:right="-284" w:firstLine="851"/>
        <w:jc w:val="both"/>
        <w:rPr>
          <w:rFonts w:ascii="Arial" w:hAnsi="Arial" w:cs="Arial"/>
          <w:kern w:val="2"/>
          <w:sz w:val="24"/>
          <w:szCs w:val="24"/>
          <w:lang w:eastAsia="ar-SA"/>
        </w:rPr>
      </w:pPr>
      <w:r w:rsidRPr="00144DAE">
        <w:rPr>
          <w:rFonts w:ascii="Arial" w:hAnsi="Arial" w:cs="Arial"/>
          <w:kern w:val="2"/>
          <w:sz w:val="24"/>
          <w:szCs w:val="24"/>
          <w:lang w:eastAsia="ar-SA"/>
        </w:rPr>
        <w:t>Por lo expuesto y con fundamento en los artículos 207, 208 y 209, de la Ley de Procedimiento y Justicia Administrativa para el Estado, se</w:t>
      </w:r>
    </w:p>
    <w:p w:rsidR="008665B5" w:rsidRPr="00144DAE" w:rsidRDefault="008665B5" w:rsidP="008665B5">
      <w:pPr>
        <w:tabs>
          <w:tab w:val="left" w:pos="-142"/>
        </w:tabs>
        <w:spacing w:line="360" w:lineRule="auto"/>
        <w:ind w:right="-284" w:firstLine="851"/>
        <w:jc w:val="both"/>
        <w:rPr>
          <w:rFonts w:ascii="Arial" w:hAnsi="Arial" w:cs="Arial"/>
          <w:szCs w:val="24"/>
        </w:rPr>
      </w:pPr>
    </w:p>
    <w:p w:rsidR="008665B5" w:rsidRPr="00144DAE" w:rsidRDefault="008665B5" w:rsidP="008665B5">
      <w:pPr>
        <w:tabs>
          <w:tab w:val="left" w:pos="-142"/>
        </w:tabs>
        <w:spacing w:line="360" w:lineRule="auto"/>
        <w:ind w:right="-284" w:firstLine="851"/>
        <w:jc w:val="center"/>
        <w:rPr>
          <w:rFonts w:ascii="Arial" w:hAnsi="Arial" w:cs="Arial"/>
          <w:b/>
          <w:sz w:val="24"/>
          <w:szCs w:val="24"/>
        </w:rPr>
      </w:pPr>
      <w:r w:rsidRPr="00144DAE">
        <w:rPr>
          <w:rFonts w:ascii="Arial" w:hAnsi="Arial" w:cs="Arial"/>
          <w:b/>
          <w:sz w:val="24"/>
          <w:szCs w:val="24"/>
        </w:rPr>
        <w:lastRenderedPageBreak/>
        <w:t>R E S U E L V E:</w:t>
      </w:r>
    </w:p>
    <w:p w:rsidR="008665B5" w:rsidRPr="00144DAE" w:rsidRDefault="008665B5" w:rsidP="008665B5">
      <w:pPr>
        <w:pStyle w:val="Textoindependiente"/>
        <w:tabs>
          <w:tab w:val="left" w:pos="-142"/>
        </w:tabs>
        <w:spacing w:line="360" w:lineRule="auto"/>
        <w:ind w:right="-284" w:firstLine="851"/>
        <w:rPr>
          <w:rFonts w:ascii="Arial" w:hAnsi="Arial" w:cs="Arial"/>
          <w:b/>
          <w:sz w:val="14"/>
          <w:szCs w:val="24"/>
        </w:rPr>
      </w:pPr>
    </w:p>
    <w:p w:rsidR="008665B5" w:rsidRPr="00144DAE" w:rsidRDefault="008665B5" w:rsidP="008665B5">
      <w:pPr>
        <w:pStyle w:val="Textoindependiente"/>
        <w:tabs>
          <w:tab w:val="left" w:pos="-142"/>
        </w:tabs>
        <w:spacing w:line="360" w:lineRule="auto"/>
        <w:ind w:right="-284" w:firstLine="851"/>
        <w:rPr>
          <w:rFonts w:ascii="Arial" w:hAnsi="Arial" w:cs="Arial"/>
          <w:sz w:val="24"/>
          <w:szCs w:val="24"/>
        </w:rPr>
      </w:pPr>
      <w:r w:rsidRPr="00144DAE">
        <w:rPr>
          <w:rFonts w:ascii="Arial" w:hAnsi="Arial" w:cs="Arial"/>
          <w:b/>
          <w:sz w:val="24"/>
          <w:szCs w:val="24"/>
        </w:rPr>
        <w:t>PRIMERO.</w:t>
      </w:r>
      <w:r w:rsidRPr="00144DAE">
        <w:rPr>
          <w:rFonts w:ascii="Arial" w:hAnsi="Arial" w:cs="Arial"/>
          <w:sz w:val="24"/>
          <w:szCs w:val="24"/>
        </w:rPr>
        <w:t xml:space="preserve"> Esta Segunda</w:t>
      </w:r>
      <w:r w:rsidRPr="00144DAE">
        <w:rPr>
          <w:rFonts w:ascii="Arial" w:hAnsi="Arial" w:cs="Arial"/>
          <w:sz w:val="24"/>
          <w:szCs w:val="24"/>
          <w:lang w:val="es-MX"/>
        </w:rPr>
        <w:t xml:space="preserve"> </w:t>
      </w:r>
      <w:r w:rsidRPr="00144DAE">
        <w:rPr>
          <w:rFonts w:ascii="Arial" w:hAnsi="Arial" w:cs="Arial"/>
          <w:sz w:val="24"/>
          <w:szCs w:val="24"/>
        </w:rPr>
        <w:t>Sala</w:t>
      </w:r>
      <w:r w:rsidRPr="00144DAE">
        <w:rPr>
          <w:rFonts w:ascii="Arial" w:hAnsi="Arial" w:cs="Arial"/>
          <w:sz w:val="24"/>
          <w:szCs w:val="24"/>
          <w:lang w:val="es-MX"/>
        </w:rPr>
        <w:t xml:space="preserve"> Unitaria </w:t>
      </w:r>
      <w:r w:rsidRPr="00144DAE">
        <w:rPr>
          <w:rFonts w:ascii="Arial" w:hAnsi="Arial" w:cs="Arial"/>
          <w:sz w:val="24"/>
          <w:szCs w:val="24"/>
        </w:rPr>
        <w:t>del Tribunal de Justicia Administrativa del Estado de Oaxaca, es competente para conocer y resolver del presente asunto.</w:t>
      </w:r>
    </w:p>
    <w:p w:rsidR="008665B5" w:rsidRPr="00144DAE" w:rsidRDefault="008665B5" w:rsidP="008665B5">
      <w:pPr>
        <w:pStyle w:val="Textoindependiente"/>
        <w:tabs>
          <w:tab w:val="left" w:pos="-142"/>
        </w:tabs>
        <w:spacing w:line="360" w:lineRule="auto"/>
        <w:ind w:right="-284" w:firstLine="851"/>
        <w:rPr>
          <w:rFonts w:ascii="Arial" w:hAnsi="Arial" w:cs="Arial"/>
          <w:sz w:val="2"/>
          <w:szCs w:val="24"/>
        </w:rPr>
      </w:pPr>
    </w:p>
    <w:p w:rsidR="008665B5" w:rsidRPr="00144DAE" w:rsidRDefault="008665B5" w:rsidP="008665B5">
      <w:pPr>
        <w:pStyle w:val="Textoindependiente"/>
        <w:tabs>
          <w:tab w:val="left" w:pos="-142"/>
        </w:tabs>
        <w:spacing w:line="360" w:lineRule="auto"/>
        <w:ind w:right="-284" w:firstLine="851"/>
        <w:rPr>
          <w:rFonts w:ascii="Arial" w:eastAsia="Arial Unicode MS" w:hAnsi="Arial" w:cs="Arial"/>
          <w:kern w:val="1"/>
          <w:sz w:val="24"/>
          <w:szCs w:val="24"/>
          <w:lang w:eastAsia="ar-SA"/>
        </w:rPr>
      </w:pPr>
      <w:r w:rsidRPr="00144DAE">
        <w:rPr>
          <w:rFonts w:ascii="Arial" w:hAnsi="Arial" w:cs="Arial"/>
          <w:b/>
          <w:sz w:val="24"/>
          <w:szCs w:val="24"/>
        </w:rPr>
        <w:t>SEGUNDO.</w:t>
      </w:r>
      <w:r w:rsidRPr="00144DAE">
        <w:rPr>
          <w:rFonts w:ascii="Arial" w:hAnsi="Arial" w:cs="Arial"/>
          <w:b/>
          <w:sz w:val="24"/>
          <w:szCs w:val="24"/>
          <w:lang w:val="es-MX"/>
        </w:rPr>
        <w:t xml:space="preserve"> </w:t>
      </w:r>
      <w:r w:rsidRPr="00144DAE">
        <w:rPr>
          <w:rFonts w:ascii="Arial" w:hAnsi="Arial" w:cs="Arial"/>
          <w:sz w:val="24"/>
          <w:szCs w:val="24"/>
          <w:lang w:val="es-MX"/>
        </w:rPr>
        <w:t>La personalidad de las partes</w:t>
      </w:r>
      <w:r w:rsidRPr="00144DAE">
        <w:rPr>
          <w:rFonts w:ascii="Arial" w:eastAsia="Arial Unicode MS" w:hAnsi="Arial" w:cs="Arial"/>
          <w:kern w:val="1"/>
          <w:sz w:val="24"/>
          <w:szCs w:val="24"/>
          <w:lang w:val="es-MX" w:eastAsia="ar-SA"/>
        </w:rPr>
        <w:t xml:space="preserve"> </w:t>
      </w:r>
      <w:r w:rsidRPr="00144DAE">
        <w:rPr>
          <w:rFonts w:ascii="Arial" w:eastAsia="Arial Unicode MS" w:hAnsi="Arial" w:cs="Arial"/>
          <w:kern w:val="1"/>
          <w:sz w:val="24"/>
          <w:szCs w:val="24"/>
          <w:lang w:eastAsia="ar-SA"/>
        </w:rPr>
        <w:t>quedó acreditada en autos del presente expediente.</w:t>
      </w:r>
    </w:p>
    <w:p w:rsidR="008665B5" w:rsidRPr="00144DAE" w:rsidRDefault="008665B5" w:rsidP="008665B5">
      <w:pPr>
        <w:pStyle w:val="Textoindependiente"/>
        <w:tabs>
          <w:tab w:val="left" w:pos="-142"/>
        </w:tabs>
        <w:spacing w:line="360" w:lineRule="auto"/>
        <w:ind w:right="-284" w:firstLine="851"/>
        <w:rPr>
          <w:rFonts w:ascii="Arial" w:eastAsia="Arial Unicode MS" w:hAnsi="Arial" w:cs="Arial"/>
          <w:kern w:val="1"/>
          <w:sz w:val="2"/>
          <w:szCs w:val="24"/>
          <w:lang w:eastAsia="ar-SA"/>
        </w:rPr>
      </w:pPr>
    </w:p>
    <w:p w:rsidR="008665B5" w:rsidRPr="00144DAE" w:rsidRDefault="008665B5" w:rsidP="008665B5">
      <w:pPr>
        <w:pStyle w:val="Textoindependiente"/>
        <w:tabs>
          <w:tab w:val="left" w:pos="-142"/>
        </w:tabs>
        <w:spacing w:line="360" w:lineRule="auto"/>
        <w:ind w:right="-284" w:firstLine="851"/>
        <w:rPr>
          <w:rFonts w:ascii="Arial" w:hAnsi="Arial" w:cs="Arial"/>
          <w:sz w:val="24"/>
          <w:szCs w:val="24"/>
        </w:rPr>
      </w:pPr>
      <w:r w:rsidRPr="00144DAE">
        <w:rPr>
          <w:rFonts w:ascii="Arial" w:hAnsi="Arial" w:cs="Arial"/>
          <w:b/>
          <w:bCs/>
          <w:sz w:val="24"/>
          <w:szCs w:val="24"/>
        </w:rPr>
        <w:t xml:space="preserve">TERCERO. </w:t>
      </w:r>
      <w:r w:rsidRPr="00144DAE">
        <w:rPr>
          <w:rFonts w:ascii="Arial" w:hAnsi="Arial" w:cs="Arial"/>
          <w:sz w:val="24"/>
          <w:szCs w:val="24"/>
        </w:rPr>
        <w:t xml:space="preserve">No se actualizó causal de improcedencia alguna, por lo que </w:t>
      </w:r>
      <w:r w:rsidRPr="00144DAE">
        <w:rPr>
          <w:rFonts w:ascii="Arial" w:hAnsi="Arial" w:cs="Arial"/>
          <w:b/>
          <w:sz w:val="24"/>
          <w:szCs w:val="24"/>
        </w:rPr>
        <w:t>NO SE SOBRESEE</w:t>
      </w:r>
      <w:r w:rsidRPr="00144DAE">
        <w:rPr>
          <w:rFonts w:ascii="Arial" w:hAnsi="Arial" w:cs="Arial"/>
          <w:sz w:val="24"/>
          <w:szCs w:val="24"/>
        </w:rPr>
        <w:t xml:space="preserve"> el juicio.</w:t>
      </w:r>
    </w:p>
    <w:p w:rsidR="008665B5" w:rsidRPr="00144DAE" w:rsidRDefault="008665B5" w:rsidP="008665B5">
      <w:pPr>
        <w:pStyle w:val="Textoindependiente"/>
        <w:tabs>
          <w:tab w:val="left" w:pos="-142"/>
        </w:tabs>
        <w:spacing w:line="360" w:lineRule="auto"/>
        <w:ind w:right="-284" w:firstLine="851"/>
        <w:rPr>
          <w:rFonts w:ascii="Arial" w:hAnsi="Arial" w:cs="Arial"/>
          <w:sz w:val="2"/>
          <w:szCs w:val="24"/>
        </w:rPr>
      </w:pPr>
    </w:p>
    <w:p w:rsidR="008665B5" w:rsidRPr="00144DAE" w:rsidRDefault="008665B5" w:rsidP="008665B5">
      <w:pPr>
        <w:tabs>
          <w:tab w:val="left" w:pos="-142"/>
        </w:tabs>
        <w:spacing w:line="360" w:lineRule="auto"/>
        <w:ind w:right="-284" w:firstLine="851"/>
        <w:jc w:val="both"/>
        <w:rPr>
          <w:rFonts w:ascii="Arial" w:hAnsi="Arial" w:cs="Arial"/>
          <w:sz w:val="24"/>
          <w:szCs w:val="24"/>
        </w:rPr>
      </w:pPr>
      <w:r w:rsidRPr="00144DAE">
        <w:rPr>
          <w:rFonts w:ascii="Arial" w:hAnsi="Arial" w:cs="Arial"/>
          <w:b/>
          <w:sz w:val="24"/>
          <w:szCs w:val="24"/>
        </w:rPr>
        <w:t>CUARTO.</w:t>
      </w:r>
      <w:r w:rsidRPr="00144DAE">
        <w:rPr>
          <w:rFonts w:ascii="Arial" w:hAnsi="Arial" w:cs="Arial"/>
          <w:sz w:val="24"/>
          <w:szCs w:val="24"/>
        </w:rPr>
        <w:t xml:space="preserve"> Se </w:t>
      </w:r>
      <w:r w:rsidRPr="00144DAE">
        <w:rPr>
          <w:rFonts w:ascii="Arial" w:hAnsi="Arial" w:cs="Arial"/>
          <w:b/>
          <w:sz w:val="24"/>
          <w:szCs w:val="24"/>
        </w:rPr>
        <w:t xml:space="preserve">DECLARA LA NULIDAD LISA Y LLANA </w:t>
      </w:r>
      <w:r w:rsidRPr="00144DAE">
        <w:rPr>
          <w:rFonts w:ascii="Arial" w:hAnsi="Arial" w:cs="Arial"/>
          <w:sz w:val="24"/>
          <w:szCs w:val="24"/>
        </w:rPr>
        <w:t xml:space="preserve">de la multa por infracción identificada con el número de control </w:t>
      </w:r>
      <w:r>
        <w:rPr>
          <w:rFonts w:ascii="Arial" w:hAnsi="Arial" w:cs="Arial"/>
          <w:sz w:val="24"/>
          <w:szCs w:val="24"/>
        </w:rPr>
        <w:t>**********</w:t>
      </w:r>
      <w:r w:rsidRPr="00144DAE">
        <w:rPr>
          <w:rFonts w:ascii="Arial" w:hAnsi="Arial" w:cs="Arial"/>
          <w:sz w:val="24"/>
          <w:szCs w:val="24"/>
        </w:rPr>
        <w:t xml:space="preserve">, de fecha ocho de agosto de dos mil diecisiete, emitida por la Directora de Ingresos y Recaudación dependiente de la Subsecretaría de Ingresos de la Secretaría de Finanzas del Poder Ejecutivo del Estado de Oaxaca, por los motivos y fundamentos legales consignados en el considerando </w:t>
      </w:r>
      <w:r w:rsidRPr="00144DAE">
        <w:rPr>
          <w:rFonts w:ascii="Arial" w:hAnsi="Arial" w:cs="Arial"/>
          <w:b/>
          <w:sz w:val="24"/>
          <w:szCs w:val="24"/>
        </w:rPr>
        <w:t xml:space="preserve">QUINTO </w:t>
      </w:r>
      <w:r w:rsidRPr="00144DAE">
        <w:rPr>
          <w:rFonts w:ascii="Arial" w:hAnsi="Arial" w:cs="Arial"/>
          <w:sz w:val="24"/>
          <w:szCs w:val="24"/>
        </w:rPr>
        <w:t>de esta sentencia.</w:t>
      </w:r>
    </w:p>
    <w:p w:rsidR="008665B5" w:rsidRPr="00144DAE" w:rsidRDefault="008665B5" w:rsidP="008665B5">
      <w:pPr>
        <w:tabs>
          <w:tab w:val="left" w:pos="-142"/>
        </w:tabs>
        <w:spacing w:line="360" w:lineRule="auto"/>
        <w:ind w:right="-284" w:firstLine="851"/>
        <w:jc w:val="both"/>
        <w:rPr>
          <w:rFonts w:ascii="Arial" w:hAnsi="Arial" w:cs="Arial"/>
          <w:sz w:val="8"/>
          <w:szCs w:val="24"/>
        </w:rPr>
      </w:pPr>
    </w:p>
    <w:p w:rsidR="008665B5" w:rsidRPr="00144DAE" w:rsidRDefault="008665B5" w:rsidP="008665B5">
      <w:pPr>
        <w:tabs>
          <w:tab w:val="left" w:pos="-142"/>
        </w:tabs>
        <w:spacing w:line="360" w:lineRule="auto"/>
        <w:ind w:right="-284" w:firstLine="851"/>
        <w:jc w:val="both"/>
        <w:rPr>
          <w:rFonts w:ascii="Arial" w:hAnsi="Arial" w:cs="Arial"/>
          <w:b/>
          <w:sz w:val="24"/>
          <w:szCs w:val="24"/>
        </w:rPr>
      </w:pPr>
      <w:r w:rsidRPr="00144DAE">
        <w:rPr>
          <w:rFonts w:ascii="Arial" w:hAnsi="Arial" w:cs="Arial"/>
          <w:b/>
          <w:sz w:val="24"/>
          <w:szCs w:val="24"/>
        </w:rPr>
        <w:t xml:space="preserve">QUINTO. NOTIFÍQUESE. PERSONALMENTE AL ACTOR Y POR OFICIO A LA AUTORIDAD DEMANDADA. CÚMPLASE   </w:t>
      </w:r>
    </w:p>
    <w:p w:rsidR="008665B5" w:rsidRPr="00144DAE" w:rsidRDefault="008665B5" w:rsidP="008665B5">
      <w:pPr>
        <w:tabs>
          <w:tab w:val="left" w:pos="-142"/>
        </w:tabs>
        <w:spacing w:line="360" w:lineRule="auto"/>
        <w:ind w:right="-284" w:firstLine="851"/>
        <w:jc w:val="both"/>
        <w:rPr>
          <w:rFonts w:ascii="Arial" w:hAnsi="Arial" w:cs="Arial"/>
          <w:sz w:val="10"/>
          <w:szCs w:val="24"/>
        </w:rPr>
      </w:pPr>
    </w:p>
    <w:p w:rsidR="008665B5" w:rsidRPr="00144DAE" w:rsidRDefault="008665B5" w:rsidP="008665B5">
      <w:pPr>
        <w:tabs>
          <w:tab w:val="left" w:pos="-142"/>
        </w:tabs>
        <w:spacing w:line="360" w:lineRule="auto"/>
        <w:ind w:right="-284" w:firstLine="851"/>
        <w:jc w:val="both"/>
        <w:rPr>
          <w:rFonts w:ascii="Arial" w:hAnsi="Arial" w:cs="Arial"/>
          <w:sz w:val="24"/>
          <w:szCs w:val="24"/>
        </w:rPr>
      </w:pPr>
      <w:r w:rsidRPr="00144DAE">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8665B5" w:rsidRPr="00144DAE" w:rsidRDefault="008665B5" w:rsidP="008665B5">
      <w:pPr>
        <w:tabs>
          <w:tab w:val="left" w:pos="-142"/>
        </w:tabs>
        <w:spacing w:line="360" w:lineRule="auto"/>
        <w:ind w:right="-284" w:firstLine="851"/>
        <w:jc w:val="both"/>
        <w:rPr>
          <w:rFonts w:ascii="Arial" w:hAnsi="Arial" w:cs="Arial"/>
          <w:sz w:val="24"/>
          <w:szCs w:val="24"/>
        </w:rPr>
      </w:pPr>
    </w:p>
    <w:p w:rsidR="00582BF4" w:rsidRPr="008665B5" w:rsidRDefault="00582BF4" w:rsidP="008665B5">
      <w:pPr>
        <w:tabs>
          <w:tab w:val="left" w:pos="-142"/>
        </w:tabs>
        <w:ind w:right="-284"/>
      </w:pPr>
      <w:bookmarkStart w:id="0" w:name="_GoBack"/>
      <w:bookmarkEnd w:id="0"/>
    </w:p>
    <w:sectPr w:rsidR="00582BF4" w:rsidRPr="008665B5" w:rsidSect="008665B5">
      <w:headerReference w:type="even" r:id="rId9"/>
      <w:headerReference w:type="default" r:id="rId10"/>
      <w:footerReference w:type="default" r:id="rId11"/>
      <w:footerReference w:type="first" r:id="rId12"/>
      <w:endnotePr>
        <w:numFmt w:val="decimal"/>
      </w:endnotePr>
      <w:pgSz w:w="12242" w:h="20163" w:code="5"/>
      <w:pgMar w:top="1134" w:right="902" w:bottom="2268" w:left="2694"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8665B5">
      <w:rPr>
        <w:caps/>
        <w:noProof/>
        <w:color w:val="5B9BD5" w:themeColor="accent1"/>
      </w:rPr>
      <w:t>9</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27181"/>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8665B5"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665B5">
    <w:pPr>
      <w:pStyle w:val="Encabezado"/>
      <w:widowControl/>
      <w:tabs>
        <w:tab w:val="clear" w:pos="4252"/>
        <w:tab w:val="clear" w:pos="8504"/>
      </w:tabs>
      <w:jc w:val="center"/>
      <w:rPr>
        <w:rStyle w:val="Nmerodepgina"/>
        <w:rFonts w:ascii="Arial" w:hAnsi="Arial" w:cs="Arial"/>
        <w:bCs/>
        <w:sz w:val="24"/>
        <w:szCs w:val="22"/>
      </w:rPr>
    </w:pPr>
  </w:p>
  <w:p w:rsidR="0087100A" w:rsidRDefault="008665B5">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8665B5">
      <w:rPr>
        <w:rStyle w:val="Nmerodepgina"/>
        <w:rFonts w:ascii="Arial" w:hAnsi="Arial" w:cs="Arial"/>
        <w:bCs/>
        <w:noProof/>
        <w:sz w:val="24"/>
        <w:szCs w:val="22"/>
      </w:rPr>
      <w:t>10</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8665B5">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AB11A6" w:rsidP="00793DB6">
    <w:pPr>
      <w:pStyle w:val="Encabezado"/>
      <w:jc w:val="center"/>
      <w:rPr>
        <w:rStyle w:val="Nmerodepgina"/>
        <w:b/>
      </w:rPr>
    </w:pPr>
    <w:r>
      <w:rPr>
        <w:rStyle w:val="Nmerodepgina"/>
        <w:sz w:val="24"/>
        <w:szCs w:val="24"/>
      </w:rPr>
      <w:t xml:space="preserve">                                                                                               </w:t>
    </w:r>
  </w:p>
  <w:p w:rsidR="0087100A" w:rsidRDefault="008665B5" w:rsidP="00793DB6">
    <w:pPr>
      <w:pStyle w:val="Encabezado"/>
      <w:jc w:val="center"/>
      <w:rPr>
        <w:rStyle w:val="Nmerodepgina"/>
        <w:b/>
      </w:rPr>
    </w:pPr>
  </w:p>
  <w:p w:rsidR="0087100A" w:rsidRDefault="008665B5" w:rsidP="00F6541A">
    <w:pPr>
      <w:pStyle w:val="Encabezado"/>
      <w:rPr>
        <w:rStyle w:val="Nmerodepgina"/>
        <w:sz w:val="24"/>
        <w:szCs w:val="24"/>
      </w:rPr>
    </w:pPr>
  </w:p>
  <w:p w:rsidR="0087100A" w:rsidRDefault="008665B5"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46D3438C" wp14:editId="31D32F85">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665B5"/>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87690"/>
    <w:rsid w:val="00E94632"/>
    <w:rsid w:val="00F23DA3"/>
    <w:rsid w:val="00F42369"/>
    <w:rsid w:val="00F4341B"/>
    <w:rsid w:val="00F44B29"/>
    <w:rsid w:val="00F46CF7"/>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semiHidden/>
    <w:unhideWhenUsed/>
    <w:rsid w:val="00E876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semiHidden/>
    <w:unhideWhenUsed/>
    <w:rsid w:val="00E87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51CC-231B-4DD1-BDCE-8EEB9873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10</Pages>
  <Words>3882</Words>
  <Characters>21352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pc</cp:lastModifiedBy>
  <cp:revision>23</cp:revision>
  <cp:lastPrinted>2019-05-02T18:11:00Z</cp:lastPrinted>
  <dcterms:created xsi:type="dcterms:W3CDTF">2019-04-03T16:04:00Z</dcterms:created>
  <dcterms:modified xsi:type="dcterms:W3CDTF">2020-01-14T01:24:00Z</dcterms:modified>
</cp:coreProperties>
</file>