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4DA" w:rsidRPr="001042B6" w:rsidRDefault="007354DA" w:rsidP="007354DA">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xml:space="preserve">- - - - </w:t>
      </w:r>
    </w:p>
    <w:p w:rsidR="007354DA" w:rsidRPr="001042B6" w:rsidRDefault="007354DA" w:rsidP="007354DA">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CINCO DE ABRIL</w:t>
      </w:r>
      <w:r w:rsidRPr="001042B6">
        <w:rPr>
          <w:rFonts w:ascii="Arial" w:hAnsi="Arial" w:cs="Arial"/>
          <w:b/>
          <w:sz w:val="24"/>
          <w:szCs w:val="24"/>
        </w:rPr>
        <w:t xml:space="preserve"> DEL AÑO DOS MIL DIECI</w:t>
      </w:r>
      <w:r>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05/04</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 - - - - - - - - - - - - - -</w:t>
      </w:r>
    </w:p>
    <w:p w:rsidR="007354DA" w:rsidRPr="001042B6" w:rsidRDefault="007354DA" w:rsidP="007354DA">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118/2018</w:t>
      </w:r>
      <w:r w:rsidRPr="001042B6">
        <w:rPr>
          <w:rFonts w:ascii="Arial" w:hAnsi="Arial" w:cs="Arial"/>
          <w:sz w:val="24"/>
          <w:szCs w:val="24"/>
        </w:rPr>
        <w:t>, promovido por l</w:t>
      </w:r>
      <w:r>
        <w:rPr>
          <w:rFonts w:ascii="Arial" w:hAnsi="Arial" w:cs="Arial"/>
          <w:sz w:val="24"/>
          <w:szCs w:val="24"/>
        </w:rPr>
        <w:t>a Ciudadana</w:t>
      </w:r>
      <w:r w:rsidRPr="001042B6">
        <w:rPr>
          <w:rFonts w:ascii="Arial" w:hAnsi="Arial" w:cs="Arial"/>
          <w:sz w:val="24"/>
          <w:szCs w:val="24"/>
        </w:rPr>
        <w:t xml:space="preserve"> </w:t>
      </w:r>
      <w:r w:rsidR="001D22A5">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1D22A5">
        <w:rPr>
          <w:rFonts w:ascii="Arial" w:hAnsi="Arial" w:cs="Arial"/>
          <w:sz w:val="24"/>
          <w:szCs w:val="24"/>
        </w:rPr>
        <w:t>**/**/****/2018</w:t>
      </w:r>
      <w:r>
        <w:rPr>
          <w:rFonts w:ascii="Arial" w:hAnsi="Arial" w:cs="Arial"/>
          <w:sz w:val="24"/>
          <w:szCs w:val="24"/>
        </w:rPr>
        <w:t xml:space="preserve">, de fecha </w:t>
      </w:r>
      <w:r w:rsidR="001D22A5">
        <w:rPr>
          <w:rFonts w:ascii="Arial" w:hAnsi="Arial" w:cs="Arial"/>
          <w:sz w:val="24"/>
          <w:szCs w:val="24"/>
        </w:rPr>
        <w:t xml:space="preserve">***** de ***** </w:t>
      </w:r>
      <w:r>
        <w:rPr>
          <w:rFonts w:ascii="Arial" w:hAnsi="Arial" w:cs="Arial"/>
          <w:sz w:val="24"/>
          <w:szCs w:val="24"/>
        </w:rPr>
        <w:t xml:space="preserve">de dos mil dieciocho </w:t>
      </w:r>
      <w:r w:rsidR="001D22A5">
        <w:rPr>
          <w:rFonts w:ascii="Arial" w:hAnsi="Arial" w:cs="Arial"/>
          <w:sz w:val="24"/>
          <w:szCs w:val="24"/>
        </w:rPr>
        <w:t>(**/**/2018)</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conteniendo el dictamen de autorización de pensión por jubilación consistente en un 100% del sueldo base por la cantidad de $7,682.00 (SIETE MIL SEISCIENTOS OCHENTA Y DOS PESOS 00/100M.N.) y estableciendo descuento del 9% por concepto de cuota al Fondo de Pensiones</w:t>
      </w:r>
      <w:r w:rsidRPr="00A461FD">
        <w:rPr>
          <w:rFonts w:ascii="Arial" w:hAnsi="Arial" w:cs="Arial"/>
          <w:sz w:val="24"/>
          <w:szCs w:val="24"/>
        </w:rPr>
        <w:t>; y,</w:t>
      </w:r>
      <w:r w:rsidRPr="001042B6">
        <w:rPr>
          <w:rFonts w:ascii="Arial" w:hAnsi="Arial" w:cs="Arial"/>
          <w:sz w:val="24"/>
          <w:szCs w:val="24"/>
        </w:rPr>
        <w:t xml:space="preserve"> - - - - - - - </w:t>
      </w:r>
    </w:p>
    <w:p w:rsidR="007354DA" w:rsidRPr="001042B6" w:rsidRDefault="007354DA" w:rsidP="007354DA">
      <w:pPr>
        <w:spacing w:line="360" w:lineRule="auto"/>
        <w:jc w:val="center"/>
        <w:rPr>
          <w:rFonts w:ascii="Arial" w:hAnsi="Arial" w:cs="Arial"/>
          <w:b/>
          <w:sz w:val="24"/>
          <w:szCs w:val="24"/>
        </w:rPr>
      </w:pPr>
      <w:r w:rsidRPr="001042B6">
        <w:rPr>
          <w:rFonts w:ascii="Arial" w:hAnsi="Arial" w:cs="Arial"/>
          <w:b/>
          <w:sz w:val="24"/>
          <w:szCs w:val="24"/>
        </w:rPr>
        <w:t>R E S U L T A N D O</w:t>
      </w:r>
    </w:p>
    <w:p w:rsidR="007354DA" w:rsidRPr="001042B6" w:rsidRDefault="007354DA" w:rsidP="007354DA">
      <w:pPr>
        <w:spacing w:line="360" w:lineRule="auto"/>
        <w:ind w:firstLine="708"/>
        <w:jc w:val="both"/>
        <w:rPr>
          <w:rFonts w:ascii="Arial" w:hAnsi="Arial" w:cs="Arial"/>
          <w:sz w:val="24"/>
          <w:szCs w:val="24"/>
        </w:rPr>
      </w:pPr>
      <w:proofErr w:type="gramStart"/>
      <w:r w:rsidRPr="001042B6">
        <w:rPr>
          <w:rFonts w:ascii="Arial" w:hAnsi="Arial" w:cs="Arial"/>
          <w:b/>
          <w:sz w:val="24"/>
          <w:szCs w:val="24"/>
        </w:rPr>
        <w:t>PRIMERO.-</w:t>
      </w:r>
      <w:proofErr w:type="gramEnd"/>
      <w:r w:rsidRPr="001042B6">
        <w:rPr>
          <w:rFonts w:ascii="Arial" w:hAnsi="Arial" w:cs="Arial"/>
          <w:b/>
          <w:sz w:val="24"/>
          <w:szCs w:val="24"/>
        </w:rPr>
        <w:t xml:space="preserve"> </w:t>
      </w:r>
      <w:r w:rsidRPr="001042B6">
        <w:rPr>
          <w:rFonts w:ascii="Arial" w:hAnsi="Arial" w:cs="Arial"/>
          <w:sz w:val="24"/>
          <w:szCs w:val="24"/>
        </w:rPr>
        <w:t xml:space="preserve">Con fecha </w:t>
      </w:r>
      <w:r>
        <w:rPr>
          <w:rFonts w:ascii="Arial" w:hAnsi="Arial" w:cs="Arial"/>
          <w:sz w:val="24"/>
          <w:szCs w:val="24"/>
        </w:rPr>
        <w:t xml:space="preserve">treinta de noviembre de dos mil dieciocho (30/11/2018),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esa misma </w:t>
      </w:r>
      <w:r w:rsidRPr="001042B6">
        <w:rPr>
          <w:rFonts w:ascii="Arial" w:hAnsi="Arial" w:cs="Arial"/>
          <w:sz w:val="24"/>
          <w:szCs w:val="24"/>
        </w:rPr>
        <w:t>fecha se tuvo por admitida a trámite</w:t>
      </w:r>
      <w:r>
        <w:rPr>
          <w:rFonts w:ascii="Arial" w:hAnsi="Arial" w:cs="Arial"/>
          <w:sz w:val="24"/>
          <w:szCs w:val="24"/>
        </w:rPr>
        <w:t>,</w:t>
      </w:r>
      <w:r w:rsidRPr="001042B6">
        <w:rPr>
          <w:rFonts w:ascii="Arial" w:hAnsi="Arial" w:cs="Arial"/>
          <w:sz w:val="24"/>
          <w:szCs w:val="24"/>
        </w:rPr>
        <w:t xml:space="preserve"> ordenándose emplazar a Juicio a la autoridad demandada. - - - - - - - - - - - - </w:t>
      </w:r>
      <w:r w:rsidR="009E69B8">
        <w:rPr>
          <w:rFonts w:ascii="Arial" w:hAnsi="Arial" w:cs="Arial"/>
          <w:sz w:val="24"/>
          <w:szCs w:val="24"/>
        </w:rPr>
        <w:t xml:space="preserve">- </w:t>
      </w:r>
    </w:p>
    <w:p w:rsidR="007354DA" w:rsidRPr="001042B6" w:rsidRDefault="007354DA" w:rsidP="007354DA">
      <w:pPr>
        <w:spacing w:line="360" w:lineRule="auto"/>
        <w:ind w:firstLine="708"/>
        <w:jc w:val="both"/>
        <w:rPr>
          <w:rFonts w:ascii="Arial" w:hAnsi="Arial" w:cs="Arial"/>
          <w:sz w:val="24"/>
          <w:szCs w:val="24"/>
        </w:rPr>
      </w:pPr>
      <w:proofErr w:type="gramStart"/>
      <w:r w:rsidRPr="001042B6">
        <w:rPr>
          <w:rFonts w:ascii="Arial" w:hAnsi="Arial" w:cs="Arial"/>
          <w:b/>
          <w:sz w:val="24"/>
          <w:szCs w:val="24"/>
        </w:rPr>
        <w:t>SEGUNDO.-</w:t>
      </w:r>
      <w:proofErr w:type="gramEnd"/>
      <w:r w:rsidRPr="001042B6">
        <w:rPr>
          <w:rFonts w:ascii="Arial" w:hAnsi="Arial" w:cs="Arial"/>
          <w:b/>
          <w:sz w:val="24"/>
          <w:szCs w:val="24"/>
        </w:rPr>
        <w:t xml:space="preserve"> </w:t>
      </w:r>
      <w:r w:rsidRPr="001042B6">
        <w:rPr>
          <w:rFonts w:ascii="Arial" w:hAnsi="Arial" w:cs="Arial"/>
          <w:sz w:val="24"/>
          <w:szCs w:val="24"/>
        </w:rPr>
        <w:t xml:space="preserve">Con fecha </w:t>
      </w:r>
      <w:r>
        <w:rPr>
          <w:rFonts w:ascii="Arial" w:hAnsi="Arial" w:cs="Arial"/>
          <w:sz w:val="24"/>
          <w:szCs w:val="24"/>
        </w:rPr>
        <w:t xml:space="preserve">dieciocho de enero de dos mil diecinueve (18/01/2019), </w:t>
      </w:r>
      <w:r w:rsidRPr="001042B6">
        <w:rPr>
          <w:rFonts w:ascii="Arial" w:hAnsi="Arial" w:cs="Arial"/>
          <w:sz w:val="24"/>
          <w:szCs w:val="24"/>
        </w:rPr>
        <w:t xml:space="preserve">se tuvo a la autoridad demandada </w:t>
      </w:r>
      <w:r>
        <w:rPr>
          <w:rFonts w:ascii="Arial" w:hAnsi="Arial" w:cs="Arial"/>
          <w:sz w:val="24"/>
          <w:szCs w:val="24"/>
        </w:rPr>
        <w:t xml:space="preserve">Consejo Directivo de Pensiones, contestando en tiempo la demanda por conducto de su apoderado legal, el </w:t>
      </w:r>
      <w:r w:rsidRPr="001042B6">
        <w:rPr>
          <w:rFonts w:ascii="Arial" w:hAnsi="Arial" w:cs="Arial"/>
          <w:sz w:val="24"/>
          <w:szCs w:val="24"/>
        </w:rPr>
        <w:t xml:space="preserve">Director General de la Oficina de Pensiones del Estado de Oaxaca, </w:t>
      </w:r>
      <w:r>
        <w:rPr>
          <w:rFonts w:ascii="Arial" w:hAnsi="Arial" w:cs="Arial"/>
          <w:sz w:val="24"/>
          <w:szCs w:val="24"/>
        </w:rPr>
        <w:t xml:space="preserve">además </w:t>
      </w:r>
      <w:r w:rsidRPr="001042B6">
        <w:rPr>
          <w:rFonts w:ascii="Arial" w:hAnsi="Arial" w:cs="Arial"/>
          <w:sz w:val="24"/>
          <w:szCs w:val="24"/>
        </w:rPr>
        <w:t>se señaló fecha y hora para</w:t>
      </w:r>
      <w:r>
        <w:rPr>
          <w:rFonts w:ascii="Arial" w:hAnsi="Arial" w:cs="Arial"/>
          <w:sz w:val="24"/>
          <w:szCs w:val="24"/>
        </w:rPr>
        <w:t xml:space="preserve"> la celebración de</w:t>
      </w:r>
      <w:r w:rsidRPr="001042B6">
        <w:rPr>
          <w:rFonts w:ascii="Arial" w:hAnsi="Arial" w:cs="Arial"/>
          <w:sz w:val="24"/>
          <w:szCs w:val="24"/>
        </w:rPr>
        <w:t xml:space="preserve"> la </w:t>
      </w:r>
      <w:r w:rsidRPr="00A461FD">
        <w:rPr>
          <w:rFonts w:ascii="Arial" w:hAnsi="Arial" w:cs="Arial"/>
          <w:sz w:val="24"/>
          <w:szCs w:val="24"/>
        </w:rPr>
        <w:t>audiencia</w:t>
      </w:r>
      <w:r w:rsidRPr="001042B6">
        <w:rPr>
          <w:rFonts w:ascii="Arial" w:hAnsi="Arial" w:cs="Arial"/>
          <w:sz w:val="24"/>
          <w:szCs w:val="24"/>
        </w:rPr>
        <w:t xml:space="preserve"> final. - - - - - - - - - - </w:t>
      </w:r>
      <w:r>
        <w:rPr>
          <w:rFonts w:ascii="Arial" w:hAnsi="Arial" w:cs="Arial"/>
          <w:sz w:val="24"/>
          <w:szCs w:val="24"/>
        </w:rPr>
        <w:t>- - - - - - - - - - - - - - - - - - - - - - - - - - - - - - - - - -</w:t>
      </w:r>
      <w:r w:rsidR="00BC1A92">
        <w:rPr>
          <w:rFonts w:ascii="Arial" w:hAnsi="Arial" w:cs="Arial"/>
          <w:sz w:val="24"/>
          <w:szCs w:val="24"/>
        </w:rPr>
        <w:t xml:space="preserve"> -</w:t>
      </w:r>
    </w:p>
    <w:p w:rsidR="007354DA" w:rsidRPr="001042B6" w:rsidRDefault="007354DA" w:rsidP="007354DA">
      <w:pPr>
        <w:tabs>
          <w:tab w:val="center" w:pos="4574"/>
        </w:tabs>
        <w:spacing w:line="360" w:lineRule="auto"/>
        <w:ind w:firstLine="708"/>
        <w:jc w:val="both"/>
        <w:rPr>
          <w:rFonts w:ascii="Arial" w:hAnsi="Arial" w:cs="Arial"/>
          <w:sz w:val="24"/>
          <w:szCs w:val="24"/>
        </w:rPr>
      </w:pPr>
      <w:proofErr w:type="gramStart"/>
      <w:r w:rsidRPr="001042B6">
        <w:rPr>
          <w:rFonts w:ascii="Arial" w:hAnsi="Arial" w:cs="Arial"/>
          <w:b/>
          <w:sz w:val="24"/>
          <w:szCs w:val="24"/>
        </w:rPr>
        <w:t>TERCERO.-</w:t>
      </w:r>
      <w:proofErr w:type="gramEnd"/>
      <w:r w:rsidRPr="001042B6">
        <w:rPr>
          <w:rFonts w:ascii="Arial" w:hAnsi="Arial" w:cs="Arial"/>
          <w:b/>
          <w:sz w:val="24"/>
          <w:szCs w:val="24"/>
        </w:rPr>
        <w:t xml:space="preserve"> </w:t>
      </w:r>
      <w:r w:rsidRPr="001042B6">
        <w:rPr>
          <w:rFonts w:ascii="Arial" w:hAnsi="Arial" w:cs="Arial"/>
          <w:sz w:val="24"/>
          <w:szCs w:val="24"/>
        </w:rPr>
        <w:t xml:space="preserve">El </w:t>
      </w:r>
      <w:r>
        <w:rPr>
          <w:rFonts w:ascii="Arial" w:hAnsi="Arial" w:cs="Arial"/>
          <w:sz w:val="24"/>
          <w:szCs w:val="24"/>
        </w:rPr>
        <w:t xml:space="preserve">cinco de marzo de dos mil diecinueve (05/03/2019),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sidR="00BC1A92">
        <w:rPr>
          <w:rFonts w:ascii="Arial" w:hAnsi="Arial" w:cs="Arial"/>
          <w:sz w:val="24"/>
          <w:szCs w:val="24"/>
        </w:rPr>
        <w:t xml:space="preserve">- </w:t>
      </w:r>
    </w:p>
    <w:p w:rsidR="007354DA" w:rsidRPr="001042B6" w:rsidRDefault="007354DA" w:rsidP="007354DA">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7354DA" w:rsidRPr="001042B6" w:rsidRDefault="007354DA" w:rsidP="007354DA">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w:t>
      </w:r>
      <w:r w:rsidRPr="001042B6">
        <w:rPr>
          <w:rFonts w:ascii="Arial" w:hAnsi="Arial" w:cs="Arial"/>
          <w:sz w:val="24"/>
          <w:szCs w:val="24"/>
        </w:rPr>
        <w:lastRenderedPageBreak/>
        <w:t xml:space="preserve">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B060ED">
        <w:rPr>
          <w:rFonts w:ascii="Arial" w:hAnsi="Arial" w:cs="Arial"/>
          <w:sz w:val="24"/>
          <w:szCs w:val="24"/>
        </w:rPr>
        <w:t xml:space="preserve">- - - - </w:t>
      </w:r>
    </w:p>
    <w:p w:rsidR="007354DA" w:rsidRPr="001042B6" w:rsidRDefault="007354DA" w:rsidP="007354DA">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7354DA" w:rsidRDefault="007354DA" w:rsidP="007354DA">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1D22A5">
        <w:rPr>
          <w:rFonts w:ascii="Arial" w:hAnsi="Arial" w:cs="Arial"/>
          <w:sz w:val="24"/>
          <w:szCs w:val="24"/>
        </w:rPr>
        <w:t>***** *****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Copia certificada de nombramiento expedido a favor de la actora como Agente del Ministerio Público, de fecha </w:t>
      </w:r>
      <w:r w:rsidR="001D22A5">
        <w:rPr>
          <w:rFonts w:ascii="Arial" w:hAnsi="Arial" w:cs="Arial"/>
          <w:sz w:val="24"/>
          <w:szCs w:val="24"/>
        </w:rPr>
        <w:t xml:space="preserve">***** de ***** de dos mil siete </w:t>
      </w:r>
      <w:r>
        <w:rPr>
          <w:rFonts w:ascii="Arial" w:hAnsi="Arial" w:cs="Arial"/>
          <w:sz w:val="24"/>
          <w:szCs w:val="24"/>
        </w:rPr>
        <w:t>(</w:t>
      </w:r>
      <w:r w:rsidR="001D22A5">
        <w:rPr>
          <w:rFonts w:ascii="Arial" w:hAnsi="Arial" w:cs="Arial"/>
          <w:sz w:val="24"/>
          <w:szCs w:val="24"/>
        </w:rPr>
        <w:t>**</w:t>
      </w:r>
      <w:r>
        <w:rPr>
          <w:rFonts w:ascii="Arial" w:hAnsi="Arial" w:cs="Arial"/>
          <w:sz w:val="24"/>
          <w:szCs w:val="24"/>
        </w:rPr>
        <w:t>/</w:t>
      </w:r>
      <w:r w:rsidR="001D22A5">
        <w:rPr>
          <w:rFonts w:ascii="Arial" w:hAnsi="Arial" w:cs="Arial"/>
          <w:sz w:val="24"/>
          <w:szCs w:val="24"/>
        </w:rPr>
        <w:t>**</w:t>
      </w:r>
      <w:r>
        <w:rPr>
          <w:rFonts w:ascii="Arial" w:hAnsi="Arial" w:cs="Arial"/>
          <w:sz w:val="24"/>
          <w:szCs w:val="24"/>
        </w:rPr>
        <w:t xml:space="preserve">/2007); </w:t>
      </w:r>
      <w:r w:rsidRPr="0002030F">
        <w:rPr>
          <w:rFonts w:ascii="Arial" w:hAnsi="Arial" w:cs="Arial"/>
          <w:b/>
          <w:sz w:val="24"/>
          <w:szCs w:val="24"/>
        </w:rPr>
        <w:t>2.-</w:t>
      </w:r>
      <w:r>
        <w:rPr>
          <w:rFonts w:ascii="Arial" w:hAnsi="Arial" w:cs="Arial"/>
          <w:sz w:val="24"/>
          <w:szCs w:val="24"/>
        </w:rPr>
        <w:t xml:space="preserve"> Copia certificada de oficio número </w:t>
      </w:r>
      <w:r w:rsidR="001D22A5">
        <w:rPr>
          <w:rFonts w:ascii="Arial" w:hAnsi="Arial" w:cs="Arial"/>
          <w:sz w:val="24"/>
          <w:szCs w:val="24"/>
        </w:rPr>
        <w:t>**/**/****/2018</w:t>
      </w:r>
      <w:r>
        <w:rPr>
          <w:rFonts w:ascii="Arial" w:hAnsi="Arial" w:cs="Arial"/>
          <w:sz w:val="24"/>
          <w:szCs w:val="24"/>
        </w:rPr>
        <w:t xml:space="preserve">, de fecha </w:t>
      </w:r>
      <w:r w:rsidR="001D22A5">
        <w:rPr>
          <w:rFonts w:ascii="Arial" w:hAnsi="Arial" w:cs="Arial"/>
          <w:sz w:val="24"/>
          <w:szCs w:val="24"/>
        </w:rPr>
        <w:t xml:space="preserve">***** de ***** </w:t>
      </w:r>
      <w:r>
        <w:rPr>
          <w:rFonts w:ascii="Arial" w:hAnsi="Arial" w:cs="Arial"/>
          <w:sz w:val="24"/>
          <w:szCs w:val="24"/>
        </w:rPr>
        <w:t xml:space="preserve">de dos mil dieciocho </w:t>
      </w:r>
      <w:r w:rsidR="001D22A5">
        <w:rPr>
          <w:rFonts w:ascii="Arial" w:hAnsi="Arial" w:cs="Arial"/>
          <w:sz w:val="24"/>
          <w:szCs w:val="24"/>
        </w:rPr>
        <w:t>(**/**/2018)</w:t>
      </w:r>
      <w:r>
        <w:rPr>
          <w:rFonts w:ascii="Arial" w:hAnsi="Arial" w:cs="Arial"/>
          <w:sz w:val="24"/>
          <w:szCs w:val="24"/>
        </w:rPr>
        <w:t>, suscrito por el Director General de la Oficina de Pensiones,</w:t>
      </w:r>
      <w:r w:rsidRPr="00B553C7">
        <w:rPr>
          <w:rFonts w:ascii="Arial" w:hAnsi="Arial" w:cs="Arial"/>
          <w:sz w:val="24"/>
          <w:szCs w:val="24"/>
        </w:rPr>
        <w:t xml:space="preserve"> </w:t>
      </w:r>
      <w:r>
        <w:rPr>
          <w:rFonts w:ascii="Arial" w:hAnsi="Arial" w:cs="Arial"/>
          <w:sz w:val="24"/>
          <w:szCs w:val="24"/>
        </w:rPr>
        <w:t xml:space="preserve">mediante el cual hace de conocimiento a la actora la procedencia sobre la pensión por jubilación con el 100% del sueldo base; </w:t>
      </w:r>
      <w:r>
        <w:rPr>
          <w:rFonts w:ascii="Arial" w:hAnsi="Arial" w:cs="Arial"/>
          <w:b/>
          <w:sz w:val="24"/>
          <w:szCs w:val="24"/>
        </w:rPr>
        <w:t xml:space="preserve">3.- </w:t>
      </w:r>
      <w:r>
        <w:rPr>
          <w:rFonts w:ascii="Arial" w:hAnsi="Arial" w:cs="Arial"/>
          <w:sz w:val="24"/>
          <w:szCs w:val="24"/>
        </w:rPr>
        <w:t xml:space="preserve">Copia certificada de cinco recibos de pago, expedidos a favor de la actora, correspondientes a la segunda quincena de agosto, primera y segunda quincena de septiembre y primera y segunda quincena de octubre, todos del año dos mil dieciocho; </w:t>
      </w:r>
      <w:r>
        <w:rPr>
          <w:rFonts w:ascii="Arial" w:hAnsi="Arial" w:cs="Arial"/>
          <w:b/>
          <w:sz w:val="24"/>
          <w:szCs w:val="24"/>
        </w:rPr>
        <w:t xml:space="preserve">4.- </w:t>
      </w:r>
      <w:r>
        <w:rPr>
          <w:rFonts w:ascii="Arial" w:hAnsi="Arial" w:cs="Arial"/>
          <w:sz w:val="24"/>
          <w:szCs w:val="24"/>
        </w:rPr>
        <w:t xml:space="preserve">Copia certificada de constancia de percepciones, expedida a favor de la actora por el Jefe de la Unidad de Recursos Humanos de la Fiscalía General del Estado, con fecha </w:t>
      </w:r>
      <w:r w:rsidR="001D22A5">
        <w:rPr>
          <w:rFonts w:ascii="Arial" w:hAnsi="Arial" w:cs="Arial"/>
          <w:sz w:val="24"/>
          <w:szCs w:val="24"/>
        </w:rPr>
        <w:t>*******</w:t>
      </w:r>
      <w:r>
        <w:rPr>
          <w:rFonts w:ascii="Arial" w:hAnsi="Arial" w:cs="Arial"/>
          <w:sz w:val="24"/>
          <w:szCs w:val="24"/>
        </w:rPr>
        <w:t xml:space="preserve"> de </w:t>
      </w:r>
      <w:r w:rsidR="001D22A5">
        <w:rPr>
          <w:rFonts w:ascii="Arial" w:hAnsi="Arial" w:cs="Arial"/>
          <w:sz w:val="24"/>
          <w:szCs w:val="24"/>
        </w:rPr>
        <w:t>********</w:t>
      </w:r>
      <w:r>
        <w:rPr>
          <w:rFonts w:ascii="Arial" w:hAnsi="Arial" w:cs="Arial"/>
          <w:sz w:val="24"/>
          <w:szCs w:val="24"/>
        </w:rPr>
        <w:t xml:space="preserve"> de dos mil dieciocho (</w:t>
      </w:r>
      <w:r w:rsidR="001D22A5">
        <w:rPr>
          <w:rFonts w:ascii="Arial" w:hAnsi="Arial" w:cs="Arial"/>
          <w:sz w:val="24"/>
          <w:szCs w:val="24"/>
        </w:rPr>
        <w:t>**</w:t>
      </w:r>
      <w:r>
        <w:rPr>
          <w:rFonts w:ascii="Arial" w:hAnsi="Arial" w:cs="Arial"/>
          <w:sz w:val="24"/>
          <w:szCs w:val="24"/>
        </w:rPr>
        <w:t>/</w:t>
      </w:r>
      <w:r w:rsidR="001D22A5">
        <w:rPr>
          <w:rFonts w:ascii="Arial" w:hAnsi="Arial" w:cs="Arial"/>
          <w:sz w:val="24"/>
          <w:szCs w:val="24"/>
        </w:rPr>
        <w:t>**</w:t>
      </w:r>
      <w:r>
        <w:rPr>
          <w:rFonts w:ascii="Arial" w:hAnsi="Arial" w:cs="Arial"/>
          <w:sz w:val="24"/>
          <w:szCs w:val="24"/>
        </w:rPr>
        <w:t xml:space="preserve">/2018); </w:t>
      </w:r>
      <w:r>
        <w:rPr>
          <w:rFonts w:ascii="Arial" w:hAnsi="Arial" w:cs="Arial"/>
          <w:b/>
          <w:sz w:val="24"/>
          <w:szCs w:val="24"/>
        </w:rPr>
        <w:t>5.-</w:t>
      </w:r>
      <w:r w:rsidRPr="00CF6608">
        <w:rPr>
          <w:rFonts w:ascii="Arial" w:hAnsi="Arial" w:cs="Arial"/>
          <w:sz w:val="24"/>
          <w:szCs w:val="24"/>
        </w:rPr>
        <w:t xml:space="preserve"> Nueve fojas simples </w:t>
      </w:r>
      <w:r>
        <w:rPr>
          <w:rFonts w:ascii="Arial" w:hAnsi="Arial" w:cs="Arial"/>
          <w:sz w:val="24"/>
          <w:szCs w:val="24"/>
        </w:rPr>
        <w:t xml:space="preserve">correspondientes a los estados de cuenta bancaria, al diez de marzo de dos mil diecisiete (10/03/2017), doce de septiembre de dos mil diecisiete (12/09/2017), once de diciembre de dos mil diecisiete (11/12/2017), doce de enero de dos mil dieciocho (12/01/2018), doce de febrero de dos mil dieciocho (12/02/2018), doce de junio de dos mil dieciocho (12/06/2018), diez de agosto de dos mil dieciocho (12/08/2018), doce de septiembre de dos mil dieciocho (12/09/2018), doce de noviembre de dos mil dieciocho (12/11/2018), todos ellos expedidos por la Institución Bancaria Citibanamex; </w:t>
      </w:r>
      <w:r w:rsidRPr="00CF6608">
        <w:rPr>
          <w:rFonts w:ascii="Arial" w:hAnsi="Arial" w:cs="Arial"/>
          <w:b/>
          <w:sz w:val="24"/>
          <w:szCs w:val="24"/>
        </w:rPr>
        <w:t>6.-</w:t>
      </w:r>
      <w:r>
        <w:rPr>
          <w:rFonts w:ascii="Arial" w:hAnsi="Arial" w:cs="Arial"/>
          <w:sz w:val="24"/>
          <w:szCs w:val="24"/>
        </w:rPr>
        <w:t xml:space="preserve"> Copia certificada de recibo de pago de pensión, expedido por la Oficina de Pensiones del Estado, de fecha treinta y uno de enero de dos mil diecinueve (31/01/2019).</w:t>
      </w:r>
    </w:p>
    <w:p w:rsidR="007354DA" w:rsidRPr="006E33A1" w:rsidRDefault="007354DA" w:rsidP="007354DA">
      <w:pPr>
        <w:spacing w:line="360" w:lineRule="auto"/>
        <w:ind w:firstLine="708"/>
        <w:jc w:val="both"/>
        <w:rPr>
          <w:rFonts w:ascii="Arial" w:hAnsi="Arial" w:cs="Arial"/>
          <w:b/>
          <w:sz w:val="24"/>
          <w:szCs w:val="24"/>
        </w:rPr>
      </w:pPr>
      <w:r>
        <w:rPr>
          <w:rFonts w:ascii="Arial" w:hAnsi="Arial" w:cs="Arial"/>
          <w:sz w:val="24"/>
          <w:szCs w:val="24"/>
        </w:rPr>
        <w:lastRenderedPageBreak/>
        <w:t xml:space="preserve">A la </w:t>
      </w:r>
      <w:r w:rsidRPr="00306CF8">
        <w:rPr>
          <w:rFonts w:ascii="Arial" w:hAnsi="Arial" w:cs="Arial"/>
          <w:b/>
          <w:sz w:val="24"/>
          <w:szCs w:val="24"/>
        </w:rPr>
        <w:t>autoridad demandada</w:t>
      </w:r>
      <w:r>
        <w:rPr>
          <w:rFonts w:ascii="Arial" w:hAnsi="Arial" w:cs="Arial"/>
          <w:sz w:val="24"/>
          <w:szCs w:val="24"/>
        </w:rPr>
        <w:t xml:space="preserve"> se le admitieron las </w:t>
      </w:r>
      <w:r w:rsidRPr="00306CF8">
        <w:rPr>
          <w:rFonts w:ascii="Arial" w:hAnsi="Arial" w:cs="Arial"/>
          <w:b/>
          <w:sz w:val="24"/>
          <w:szCs w:val="24"/>
        </w:rPr>
        <w:t>DOCUMENTALES</w:t>
      </w:r>
      <w:r>
        <w:rPr>
          <w:rFonts w:ascii="Arial" w:hAnsi="Arial" w:cs="Arial"/>
          <w:sz w:val="24"/>
          <w:szCs w:val="24"/>
        </w:rPr>
        <w:t xml:space="preserve"> siguientes: </w:t>
      </w:r>
      <w:r w:rsidRPr="00D07CC4">
        <w:rPr>
          <w:rFonts w:ascii="Arial" w:hAnsi="Arial" w:cs="Arial"/>
          <w:b/>
          <w:sz w:val="24"/>
          <w:szCs w:val="24"/>
        </w:rPr>
        <w:t>1.-</w:t>
      </w:r>
      <w:r>
        <w:rPr>
          <w:rFonts w:ascii="Arial" w:hAnsi="Arial" w:cs="Arial"/>
          <w:sz w:val="24"/>
          <w:szCs w:val="24"/>
        </w:rPr>
        <w:t xml:space="preserve"> Copia certificada de nombramiento y Protesta de Ley, expedidos a favor del C.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Pr>
          <w:rFonts w:ascii="Arial" w:hAnsi="Arial" w:cs="Arial"/>
          <w:sz w:val="24"/>
          <w:szCs w:val="24"/>
        </w:rPr>
        <w:t xml:space="preserve">Copia certificada de poder general, otorgado en el Instrumento Notarial número 2437, Volumen 58, pasado ante la fe del Notario Público número Noventa en el Estado, que confiere el Consejo Directivo de la Oficina de Pensiones al Director al ciudadano JESUS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3.- </w:t>
      </w:r>
      <w:r>
        <w:rPr>
          <w:rFonts w:ascii="Arial" w:hAnsi="Arial" w:cs="Arial"/>
          <w:sz w:val="24"/>
          <w:szCs w:val="24"/>
        </w:rPr>
        <w:t xml:space="preserve">Copia certificada de oficio número </w:t>
      </w:r>
      <w:r w:rsidR="001D22A5">
        <w:rPr>
          <w:rFonts w:ascii="Arial" w:hAnsi="Arial" w:cs="Arial"/>
          <w:sz w:val="24"/>
          <w:szCs w:val="24"/>
        </w:rPr>
        <w:t>**/**/****/2018</w:t>
      </w:r>
      <w:r>
        <w:rPr>
          <w:rFonts w:ascii="Arial" w:hAnsi="Arial" w:cs="Arial"/>
          <w:sz w:val="24"/>
          <w:szCs w:val="24"/>
        </w:rPr>
        <w:t xml:space="preserve">, de fecha </w:t>
      </w:r>
      <w:r w:rsidR="001D22A5">
        <w:rPr>
          <w:rFonts w:ascii="Arial" w:hAnsi="Arial" w:cs="Arial"/>
          <w:sz w:val="24"/>
          <w:szCs w:val="24"/>
        </w:rPr>
        <w:t xml:space="preserve">***** de ***** </w:t>
      </w:r>
      <w:r>
        <w:rPr>
          <w:rFonts w:ascii="Arial" w:hAnsi="Arial" w:cs="Arial"/>
          <w:sz w:val="24"/>
          <w:szCs w:val="24"/>
        </w:rPr>
        <w:t xml:space="preserve">de dos mil dieciocho </w:t>
      </w:r>
      <w:r w:rsidR="001D22A5">
        <w:rPr>
          <w:rFonts w:ascii="Arial" w:hAnsi="Arial" w:cs="Arial"/>
          <w:sz w:val="24"/>
          <w:szCs w:val="24"/>
        </w:rPr>
        <w:t>(**/**/2018)</w:t>
      </w:r>
      <w:r>
        <w:rPr>
          <w:rFonts w:ascii="Arial" w:hAnsi="Arial" w:cs="Arial"/>
          <w:sz w:val="24"/>
          <w:szCs w:val="24"/>
        </w:rPr>
        <w:t>, suscrito por el Director General de la Oficina de Pensiones,</w:t>
      </w:r>
      <w:r w:rsidRPr="00B553C7">
        <w:rPr>
          <w:rFonts w:ascii="Arial" w:hAnsi="Arial" w:cs="Arial"/>
          <w:sz w:val="24"/>
          <w:szCs w:val="24"/>
        </w:rPr>
        <w:t xml:space="preserve"> </w:t>
      </w:r>
      <w:r>
        <w:rPr>
          <w:rFonts w:ascii="Arial" w:hAnsi="Arial" w:cs="Arial"/>
          <w:sz w:val="24"/>
          <w:szCs w:val="24"/>
        </w:rPr>
        <w:t xml:space="preserve">en que hace de conocimiento a la actora la procedencia de la pensión por jubilación con el 100% del sueldo base, con su respectiva constancia de notificación de fecha </w:t>
      </w:r>
      <w:r w:rsidR="001D22A5">
        <w:rPr>
          <w:rFonts w:ascii="Arial" w:hAnsi="Arial" w:cs="Arial"/>
          <w:sz w:val="24"/>
          <w:szCs w:val="24"/>
        </w:rPr>
        <w:t>*****</w:t>
      </w:r>
      <w:r>
        <w:rPr>
          <w:rFonts w:ascii="Arial" w:hAnsi="Arial" w:cs="Arial"/>
          <w:sz w:val="24"/>
          <w:szCs w:val="24"/>
        </w:rPr>
        <w:t xml:space="preserve"> de </w:t>
      </w:r>
      <w:r w:rsidR="001D22A5">
        <w:rPr>
          <w:rFonts w:ascii="Arial" w:hAnsi="Arial" w:cs="Arial"/>
          <w:sz w:val="24"/>
          <w:szCs w:val="24"/>
        </w:rPr>
        <w:t>*********</w:t>
      </w:r>
      <w:r>
        <w:rPr>
          <w:rFonts w:ascii="Arial" w:hAnsi="Arial" w:cs="Arial"/>
          <w:sz w:val="24"/>
          <w:szCs w:val="24"/>
        </w:rPr>
        <w:t xml:space="preserve"> de dos mil dieciocho (</w:t>
      </w:r>
      <w:r w:rsidR="001D22A5">
        <w:rPr>
          <w:rFonts w:ascii="Arial" w:hAnsi="Arial" w:cs="Arial"/>
          <w:sz w:val="24"/>
          <w:szCs w:val="24"/>
        </w:rPr>
        <w:t>**</w:t>
      </w:r>
      <w:r>
        <w:rPr>
          <w:rFonts w:ascii="Arial" w:hAnsi="Arial" w:cs="Arial"/>
          <w:sz w:val="24"/>
          <w:szCs w:val="24"/>
        </w:rPr>
        <w:t>/</w:t>
      </w:r>
      <w:r w:rsidR="001D22A5">
        <w:rPr>
          <w:rFonts w:ascii="Arial" w:hAnsi="Arial" w:cs="Arial"/>
          <w:sz w:val="24"/>
          <w:szCs w:val="24"/>
        </w:rPr>
        <w:t>**</w:t>
      </w:r>
      <w:r>
        <w:rPr>
          <w:rFonts w:ascii="Arial" w:hAnsi="Arial" w:cs="Arial"/>
          <w:sz w:val="24"/>
          <w:szCs w:val="24"/>
        </w:rPr>
        <w:t xml:space="preserve">/2018); </w:t>
      </w:r>
      <w:r>
        <w:rPr>
          <w:rFonts w:ascii="Arial" w:hAnsi="Arial" w:cs="Arial"/>
          <w:b/>
          <w:sz w:val="24"/>
          <w:szCs w:val="24"/>
        </w:rPr>
        <w:t xml:space="preserve">4.- </w:t>
      </w:r>
      <w:r w:rsidRPr="00306CF8">
        <w:rPr>
          <w:rFonts w:ascii="Arial" w:hAnsi="Arial" w:cs="Arial"/>
          <w:sz w:val="24"/>
          <w:szCs w:val="24"/>
        </w:rPr>
        <w:t xml:space="preserve">Copia certificada de nombramiento expedido a favor de la </w:t>
      </w:r>
      <w:r w:rsidRPr="00F81279">
        <w:rPr>
          <w:rFonts w:ascii="Arial" w:hAnsi="Arial" w:cs="Arial"/>
          <w:sz w:val="24"/>
          <w:szCs w:val="24"/>
        </w:rPr>
        <w:t xml:space="preserve">actora como Agente del Ministerio Público a partir del </w:t>
      </w:r>
      <w:r w:rsidR="001D22A5">
        <w:rPr>
          <w:rFonts w:ascii="Arial" w:hAnsi="Arial" w:cs="Arial"/>
          <w:sz w:val="24"/>
          <w:szCs w:val="24"/>
        </w:rPr>
        <w:t>******</w:t>
      </w:r>
      <w:r w:rsidRPr="00F81279">
        <w:rPr>
          <w:rFonts w:ascii="Arial" w:hAnsi="Arial" w:cs="Arial"/>
          <w:sz w:val="24"/>
          <w:szCs w:val="24"/>
        </w:rPr>
        <w:t xml:space="preserve"> de </w:t>
      </w:r>
      <w:r w:rsidR="001D22A5">
        <w:rPr>
          <w:rFonts w:ascii="Arial" w:hAnsi="Arial" w:cs="Arial"/>
          <w:sz w:val="24"/>
          <w:szCs w:val="24"/>
        </w:rPr>
        <w:t>******</w:t>
      </w:r>
      <w:r w:rsidRPr="00F81279">
        <w:rPr>
          <w:rFonts w:ascii="Arial" w:hAnsi="Arial" w:cs="Arial"/>
          <w:sz w:val="24"/>
          <w:szCs w:val="24"/>
        </w:rPr>
        <w:t xml:space="preserve"> de dos mil dieciocho (</w:t>
      </w:r>
      <w:r w:rsidR="001D22A5">
        <w:rPr>
          <w:rFonts w:ascii="Arial" w:hAnsi="Arial" w:cs="Arial"/>
          <w:sz w:val="24"/>
          <w:szCs w:val="24"/>
        </w:rPr>
        <w:t>**</w:t>
      </w:r>
      <w:r w:rsidRPr="00F81279">
        <w:rPr>
          <w:rFonts w:ascii="Arial" w:hAnsi="Arial" w:cs="Arial"/>
          <w:sz w:val="24"/>
          <w:szCs w:val="24"/>
        </w:rPr>
        <w:t>/</w:t>
      </w:r>
      <w:r w:rsidR="001D22A5">
        <w:rPr>
          <w:rFonts w:ascii="Arial" w:hAnsi="Arial" w:cs="Arial"/>
          <w:sz w:val="24"/>
          <w:szCs w:val="24"/>
        </w:rPr>
        <w:t>**</w:t>
      </w:r>
      <w:bookmarkStart w:id="0" w:name="_GoBack"/>
      <w:bookmarkEnd w:id="0"/>
      <w:r w:rsidRPr="00F81279">
        <w:rPr>
          <w:rFonts w:ascii="Arial" w:hAnsi="Arial" w:cs="Arial"/>
          <w:sz w:val="24"/>
          <w:szCs w:val="24"/>
        </w:rPr>
        <w:t>/</w:t>
      </w:r>
      <w:r w:rsidRPr="00306CF8">
        <w:rPr>
          <w:rFonts w:ascii="Arial" w:hAnsi="Arial" w:cs="Arial"/>
          <w:sz w:val="24"/>
          <w:szCs w:val="24"/>
        </w:rPr>
        <w:t>2018).</w:t>
      </w:r>
    </w:p>
    <w:p w:rsidR="007354DA" w:rsidRPr="001042B6" w:rsidRDefault="007354DA" w:rsidP="007354D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Todas las copias certificadas remitidas por las partes tienen </w:t>
      </w:r>
      <w:r w:rsidRPr="00E71314">
        <w:rPr>
          <w:rFonts w:ascii="Arial" w:hAnsi="Arial" w:cs="Arial"/>
          <w:b/>
          <w:sz w:val="24"/>
          <w:szCs w:val="24"/>
        </w:rPr>
        <w:t>pleno valor probatorio</w:t>
      </w:r>
      <w:r>
        <w:rPr>
          <w:rFonts w:ascii="Arial" w:hAnsi="Arial" w:cs="Arial"/>
          <w:sz w:val="24"/>
          <w:szCs w:val="24"/>
        </w:rPr>
        <w:t xml:space="preserve">, porque unas fueron certificadas por el Oficial Mayor de la Fiscalía General del Estado, otras por Notarios Públicos y otras más por el Jefe del Departamento Jurídico de la Oficina de Pensiones, todos ellos con plenas facultades para ello, de conformidad con lo dispuesto en los artículos 10 fracción XXIII, del Reglamento de la Ley Orgánica de la Fiscalía General del Estado, </w:t>
      </w:r>
      <w:r w:rsidRPr="001042B6">
        <w:rPr>
          <w:rFonts w:ascii="Arial" w:hAnsi="Arial" w:cs="Arial"/>
          <w:sz w:val="24"/>
          <w:szCs w:val="24"/>
        </w:rPr>
        <w:t>2 y 87, ambos de la Ley del Notariado para el Estado de Oaxaca</w:t>
      </w:r>
      <w:r>
        <w:rPr>
          <w:rFonts w:ascii="Arial" w:hAnsi="Arial" w:cs="Arial"/>
          <w:sz w:val="24"/>
          <w:szCs w:val="24"/>
        </w:rPr>
        <w:t xml:space="preserve"> y 7 del Reglamento Interno de la Oficina de Pensiones del Estado de Oaxaca, circunstancias por las que generan convicción sobre su existencia y veracidad de su contenido;</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7354DA" w:rsidRDefault="007354DA" w:rsidP="007354DA">
      <w:pPr>
        <w:spacing w:line="360" w:lineRule="auto"/>
        <w:ind w:firstLine="708"/>
        <w:jc w:val="both"/>
        <w:rPr>
          <w:rFonts w:ascii="Arial" w:hAnsi="Arial" w:cs="Arial"/>
          <w:sz w:val="24"/>
          <w:szCs w:val="24"/>
        </w:rPr>
      </w:pPr>
      <w:r>
        <w:rPr>
          <w:rFonts w:ascii="Arial" w:hAnsi="Arial" w:cs="Arial"/>
          <w:sz w:val="24"/>
          <w:szCs w:val="24"/>
        </w:rPr>
        <w:t xml:space="preserve">Por lo que </w:t>
      </w:r>
      <w:r w:rsidRPr="00F81279">
        <w:rPr>
          <w:rFonts w:ascii="Arial" w:hAnsi="Arial" w:cs="Arial"/>
          <w:sz w:val="24"/>
          <w:szCs w:val="24"/>
        </w:rPr>
        <w:t>respecta a las copias simples remitidas por la actora (estados de cuenta bancaria), se les</w:t>
      </w:r>
      <w:r>
        <w:rPr>
          <w:rFonts w:ascii="Arial" w:hAnsi="Arial" w:cs="Arial"/>
          <w:sz w:val="24"/>
          <w:szCs w:val="24"/>
        </w:rPr>
        <w:t xml:space="preserve"> otorga </w:t>
      </w:r>
      <w:r w:rsidRPr="004972B2">
        <w:rPr>
          <w:rFonts w:ascii="Arial" w:hAnsi="Arial" w:cs="Arial"/>
          <w:b/>
          <w:sz w:val="24"/>
          <w:szCs w:val="24"/>
        </w:rPr>
        <w:t>valor probatorio indiciario</w:t>
      </w:r>
      <w:r>
        <w:rPr>
          <w:rFonts w:ascii="Arial" w:hAnsi="Arial" w:cs="Arial"/>
          <w:sz w:val="24"/>
          <w:szCs w:val="24"/>
        </w:rPr>
        <w:t xml:space="preserve">, pues tienen relación con los recibos de pago que en copia certificada remitió, de ahí que no sean documentos aislados, pues se concatenan con otra probanza diversa que tiene valor probatorio pleno, sirven de apoyo a lo </w:t>
      </w:r>
      <w:r>
        <w:rPr>
          <w:rFonts w:ascii="Arial" w:hAnsi="Arial" w:cs="Arial"/>
          <w:sz w:val="24"/>
          <w:szCs w:val="24"/>
        </w:rPr>
        <w:lastRenderedPageBreak/>
        <w:t>anterior, los criterios sustentados por la Suprema Corte de Justicia de la Nación, en las Jurisprudencias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 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COPIAS FOTOSTÁTICAS SIMPLES, CARECEN DE VALOR PROBATORIO SI NO SE ENCUENTRAN ADMINICULADAS CON ALGUNA OTRA PRUEBA</w:t>
      </w:r>
      <w:r w:rsidRPr="00DC2527">
        <w:rPr>
          <w:rFonts w:ascii="Arial" w:hAnsi="Arial" w:cs="Arial"/>
          <w:sz w:val="24"/>
          <w:szCs w:val="24"/>
        </w:rPr>
        <w:t>.</w:t>
      </w:r>
      <w:r>
        <w:rPr>
          <w:rFonts w:ascii="Arial" w:hAnsi="Arial" w:cs="Arial"/>
          <w:sz w:val="24"/>
          <w:szCs w:val="24"/>
        </w:rPr>
        <w:t>”</w:t>
      </w:r>
    </w:p>
    <w:p w:rsidR="007354DA" w:rsidRPr="001042B6" w:rsidRDefault="007354DA" w:rsidP="007354DA">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 cumplen con los requisitos de validez y eficacia, quedando de manifiesto la veracidad de su contenido,</w:t>
      </w:r>
      <w:r>
        <w:rPr>
          <w:rFonts w:ascii="Arial" w:hAnsi="Arial" w:cs="Arial"/>
          <w:sz w:val="24"/>
          <w:szCs w:val="24"/>
        </w:rPr>
        <w:t xml:space="preserve"> no obstante la objeción que realizó la autoridad de las pruebas ofrecidas por la actora, pues se limitó a objetarla sin exponer motivo alguno del porque debe restárseles valor probatorio, por lo que subsiste el valor otorgado, </w:t>
      </w:r>
      <w:r w:rsidRPr="001042B6">
        <w:rPr>
          <w:rFonts w:ascii="Arial" w:hAnsi="Arial" w:cs="Arial"/>
          <w:sz w:val="24"/>
          <w:szCs w:val="24"/>
        </w:rPr>
        <w:t>de conformidad a lo que establece el citado artículo 203 fracción I de la Ley de Procedimiento y Justicia Administrativa para el Estado de Oaxaca.</w:t>
      </w:r>
    </w:p>
    <w:p w:rsidR="007354DA" w:rsidRPr="001042B6" w:rsidRDefault="007354DA" w:rsidP="007354DA">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 xml:space="preserve">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 </w:t>
      </w:r>
    </w:p>
    <w:p w:rsidR="007354DA" w:rsidRPr="001042B6" w:rsidRDefault="007354DA" w:rsidP="007354DA">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 xml:space="preserve">LA PRESUNCIONAL LEGAL Y HUMANA también ofrecida por la actora y autoridad demandada, se basa en los principios que las rigen, consistentes en determinar la consecuencia que la ley deduce de un hecho conocido, para averiguar la verdad de otro </w:t>
      </w:r>
      <w:r>
        <w:rPr>
          <w:rFonts w:ascii="Arial" w:hAnsi="Arial" w:cs="Arial"/>
          <w:sz w:val="24"/>
          <w:szCs w:val="24"/>
        </w:rPr>
        <w:t>c</w:t>
      </w:r>
      <w:r w:rsidRPr="001042B6">
        <w:rPr>
          <w:rFonts w:ascii="Arial" w:hAnsi="Arial" w:cs="Arial"/>
          <w:sz w:val="24"/>
          <w:szCs w:val="24"/>
        </w:rPr>
        <w:t xml:space="preserve">onocido, y </w:t>
      </w:r>
      <w:proofErr w:type="gramStart"/>
      <w:r w:rsidRPr="001042B6">
        <w:rPr>
          <w:rFonts w:ascii="Arial" w:hAnsi="Arial" w:cs="Arial"/>
          <w:sz w:val="24"/>
          <w:szCs w:val="24"/>
        </w:rPr>
        <w:t>que</w:t>
      </w:r>
      <w:proofErr w:type="gramEnd"/>
      <w:r w:rsidRPr="001042B6">
        <w:rPr>
          <w:rFonts w:ascii="Arial" w:hAnsi="Arial" w:cs="Arial"/>
          <w:sz w:val="24"/>
          <w:szCs w:val="24"/>
        </w:rPr>
        <w:t xml:space="preserve"> de no ofrecerse prueba en contrario, se acredita de este modo el hecho desconocido.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E32087">
        <w:rPr>
          <w:rFonts w:ascii="Arial" w:hAnsi="Arial" w:cs="Arial"/>
          <w:sz w:val="24"/>
          <w:szCs w:val="24"/>
        </w:rPr>
        <w:t xml:space="preserve">- - - - </w:t>
      </w:r>
    </w:p>
    <w:p w:rsidR="007354DA" w:rsidRPr="001042B6" w:rsidRDefault="007354DA" w:rsidP="007354DA">
      <w:pPr>
        <w:tabs>
          <w:tab w:val="center" w:pos="4574"/>
        </w:tabs>
        <w:spacing w:line="360" w:lineRule="auto"/>
        <w:ind w:firstLine="708"/>
        <w:jc w:val="both"/>
        <w:rPr>
          <w:rFonts w:cs="Arial"/>
          <w:sz w:val="24"/>
        </w:rPr>
      </w:pPr>
      <w:proofErr w:type="gramStart"/>
      <w:r w:rsidRPr="001042B6">
        <w:rPr>
          <w:rFonts w:ascii="Arial" w:hAnsi="Arial" w:cs="Arial"/>
          <w:b/>
          <w:sz w:val="24"/>
          <w:szCs w:val="24"/>
        </w:rPr>
        <w:t>TERCERO.-</w:t>
      </w:r>
      <w:proofErr w:type="gramEnd"/>
      <w:r w:rsidRPr="001042B6">
        <w:rPr>
          <w:rFonts w:ascii="Arial" w:hAnsi="Arial" w:cs="Arial"/>
          <w:b/>
          <w:sz w:val="24"/>
          <w:szCs w:val="24"/>
        </w:rPr>
        <w:t xml:space="preserve">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 xml:space="preserve">CONCEPTOS DE VIOLACIÓN O AGRAVIOS. PARA CUMPLIR CON LOS PRINCIPIOS DE CONGRUENCIA Y EXHAUSTIVIDAD EN LAS </w:t>
      </w:r>
      <w:r w:rsidRPr="001042B6">
        <w:rPr>
          <w:rFonts w:ascii="Arial" w:hAnsi="Arial" w:cs="Arial"/>
          <w:i/>
          <w:sz w:val="24"/>
        </w:rPr>
        <w:lastRenderedPageBreak/>
        <w:t>SENTENCIAS DE AMPARO ES INNECESARIA SU TRANSCRIPCIÓN.</w:t>
      </w:r>
      <w:r w:rsidRPr="001042B6">
        <w:rPr>
          <w:rFonts w:ascii="Arial" w:hAnsi="Arial" w:cs="Arial"/>
          <w:b/>
          <w:i/>
          <w:sz w:val="24"/>
        </w:rPr>
        <w:t xml:space="preserve"> </w:t>
      </w:r>
      <w:r w:rsidRPr="001042B6">
        <w:rPr>
          <w:rFonts w:ascii="Arial" w:hAnsi="Arial" w:cs="Arial"/>
          <w:i/>
          <w:sz w:val="24"/>
        </w:rPr>
        <w:t xml:space="preserve">Visible en la Novena Época, pág. 830, registro 164618, Jurisprudencia Común, Segunda Sala, del Semanario Judicial de la Federación y su </w:t>
      </w:r>
      <w:proofErr w:type="gramStart"/>
      <w:r w:rsidRPr="001042B6">
        <w:rPr>
          <w:rFonts w:ascii="Arial" w:hAnsi="Arial" w:cs="Arial"/>
          <w:i/>
          <w:sz w:val="24"/>
        </w:rPr>
        <w:t>Gaceta</w:t>
      </w:r>
      <w:r w:rsidRPr="001042B6">
        <w:rPr>
          <w:rFonts w:ascii="Arial" w:hAnsi="Arial" w:cs="Arial"/>
          <w:sz w:val="24"/>
        </w:rPr>
        <w:t>.-</w:t>
      </w:r>
      <w:proofErr w:type="gramEnd"/>
      <w:r w:rsidRPr="001042B6">
        <w:rPr>
          <w:rFonts w:ascii="Arial" w:hAnsi="Arial" w:cs="Arial"/>
          <w:sz w:val="24"/>
        </w:rPr>
        <w:t xml:space="preserve"> - - - - - - - - - - - - - - - - - - - - - - - - - - - - - - - - - - - - - - - - - - - - - - - -</w:t>
      </w:r>
      <w:r w:rsidRPr="001042B6">
        <w:rPr>
          <w:rFonts w:cs="Arial"/>
          <w:sz w:val="24"/>
        </w:rPr>
        <w:t xml:space="preserve"> </w:t>
      </w:r>
      <w:r w:rsidR="007922B8">
        <w:rPr>
          <w:rFonts w:cs="Arial"/>
          <w:sz w:val="24"/>
        </w:rPr>
        <w:t>- -</w:t>
      </w:r>
    </w:p>
    <w:p w:rsidR="007354DA" w:rsidRPr="001042B6" w:rsidRDefault="007354DA" w:rsidP="007354DA">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 la actora </w:t>
      </w:r>
      <w:r w:rsidR="001D22A5">
        <w:rPr>
          <w:rFonts w:ascii="Arial" w:hAnsi="Arial" w:cs="Arial"/>
          <w:sz w:val="24"/>
          <w:szCs w:val="24"/>
        </w:rPr>
        <w:t>***** *****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concedió la pensión por jubilación, considerando únicamente el sueldo base, además determinó un descuento del 9% sobre su pensión,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rsidR="007354DA" w:rsidRPr="001042B6" w:rsidRDefault="007354DA" w:rsidP="007354DA">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 autoridad demandada</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de la Oficina de Pensiones, </w:t>
      </w:r>
      <w:r w:rsidRPr="001042B6">
        <w:rPr>
          <w:rFonts w:ascii="Arial" w:hAnsi="Arial" w:cs="Arial"/>
          <w:sz w:val="24"/>
        </w:rPr>
        <w:t>remitió copia certificada de su nombramiento y Protesta de Ley,</w:t>
      </w:r>
      <w:r>
        <w:rPr>
          <w:rFonts w:ascii="Arial" w:hAnsi="Arial" w:cs="Arial"/>
          <w:sz w:val="24"/>
        </w:rPr>
        <w:t xml:space="preserve"> además del Poder General para pleitos y cobranzas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 como se expuso en el considerando correspondiente, por lo que sin duda colmó los requisitos dispuestos en el numeral 151 referido y por ende, acreditando su personalidad.- - - - - - - - - - </w:t>
      </w:r>
      <w:r>
        <w:rPr>
          <w:rFonts w:ascii="Arial" w:hAnsi="Arial" w:cs="Arial"/>
          <w:sz w:val="24"/>
        </w:rPr>
        <w:t xml:space="preserve">- - - - - - - - - - - - - - - - - </w:t>
      </w:r>
      <w:r w:rsidR="00575505">
        <w:rPr>
          <w:rFonts w:ascii="Arial" w:hAnsi="Arial" w:cs="Arial"/>
          <w:sz w:val="24"/>
        </w:rPr>
        <w:t>- - - -</w:t>
      </w:r>
    </w:p>
    <w:p w:rsidR="007354DA" w:rsidRPr="001042B6" w:rsidRDefault="007354DA" w:rsidP="007354DA">
      <w:pPr>
        <w:tabs>
          <w:tab w:val="center" w:pos="4574"/>
        </w:tabs>
        <w:spacing w:line="360" w:lineRule="auto"/>
        <w:ind w:firstLine="708"/>
        <w:jc w:val="both"/>
        <w:rPr>
          <w:rFonts w:ascii="Arial" w:hAnsi="Arial" w:cs="Arial"/>
          <w:sz w:val="24"/>
          <w:szCs w:val="24"/>
        </w:rPr>
      </w:pPr>
      <w:proofErr w:type="gramStart"/>
      <w:r w:rsidRPr="001042B6">
        <w:rPr>
          <w:rFonts w:ascii="Arial" w:hAnsi="Arial" w:cs="Arial"/>
          <w:b/>
          <w:sz w:val="24"/>
          <w:szCs w:val="24"/>
        </w:rPr>
        <w:t>QUINTO.-</w:t>
      </w:r>
      <w:proofErr w:type="gramEnd"/>
      <w:r w:rsidRPr="001042B6">
        <w:rPr>
          <w:rFonts w:ascii="Arial" w:hAnsi="Arial" w:cs="Arial"/>
          <w:b/>
          <w:sz w:val="24"/>
          <w:szCs w:val="24"/>
        </w:rPr>
        <w:t xml:space="preserve">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sidRPr="001042B6">
        <w:rPr>
          <w:rFonts w:ascii="Arial" w:hAnsi="Arial" w:cs="Arial"/>
          <w:sz w:val="24"/>
          <w:szCs w:val="24"/>
        </w:rPr>
        <w:t>hipótesis</w:t>
      </w:r>
      <w:proofErr w:type="spellEnd"/>
      <w:r w:rsidRPr="001042B6">
        <w:rPr>
          <w:rFonts w:ascii="Arial" w:hAnsi="Arial" w:cs="Arial"/>
          <w:sz w:val="24"/>
          <w:szCs w:val="24"/>
        </w:rPr>
        <w:t xml:space="preserve"> normativas, surge un impedimento para resolver el fondo del asunto, que obliga a declarar el sobreseimiento, tal y como se establece en los artículos 161 y 162, de la Ley de Procedimiento y Justicia Administrativa para el Estado de Oaxaca. </w:t>
      </w:r>
    </w:p>
    <w:p w:rsidR="007354DA" w:rsidRPr="001042B6" w:rsidRDefault="007354DA" w:rsidP="007354DA">
      <w:pPr>
        <w:pStyle w:val="corte4fondoCarCarCar"/>
        <w:spacing w:before="240"/>
        <w:ind w:firstLine="708"/>
        <w:rPr>
          <w:rFonts w:cs="Arial"/>
          <w:bCs/>
          <w:sz w:val="24"/>
        </w:rPr>
      </w:pPr>
      <w:r w:rsidRPr="001042B6">
        <w:rPr>
          <w:rFonts w:cs="Arial"/>
          <w:bCs/>
          <w:sz w:val="24"/>
        </w:rPr>
        <w:t xml:space="preserve">La autoridad demanda </w:t>
      </w:r>
      <w:r w:rsidRPr="004037C9">
        <w:rPr>
          <w:rFonts w:cs="Arial"/>
          <w:bCs/>
          <w:sz w:val="24"/>
        </w:rPr>
        <w:t>hizo valer tres excepciones, la</w:t>
      </w:r>
      <w:r>
        <w:rPr>
          <w:rFonts w:cs="Arial"/>
          <w:bCs/>
          <w:sz w:val="24"/>
        </w:rPr>
        <w:t xml:space="preserve"> </w:t>
      </w:r>
      <w:r w:rsidRPr="000C1D44">
        <w:rPr>
          <w:rFonts w:cs="Arial"/>
          <w:bCs/>
          <w:sz w:val="24"/>
        </w:rPr>
        <w:t>falta de Acción y Derecho del actor</w:t>
      </w:r>
      <w:r>
        <w:rPr>
          <w:rFonts w:cs="Arial"/>
          <w:bCs/>
          <w:sz w:val="24"/>
        </w:rPr>
        <w:t xml:space="preserve">, Falsedad de los hechos, y Sine </w:t>
      </w:r>
      <w:proofErr w:type="spellStart"/>
      <w:r>
        <w:rPr>
          <w:rFonts w:cs="Arial"/>
          <w:bCs/>
          <w:sz w:val="24"/>
        </w:rPr>
        <w:t>Actione</w:t>
      </w:r>
      <w:proofErr w:type="spellEnd"/>
      <w:r>
        <w:rPr>
          <w:rFonts w:cs="Arial"/>
          <w:bCs/>
          <w:sz w:val="24"/>
        </w:rPr>
        <w:t xml:space="preserve"> Agis, basando sus argumentos en que los hechos narrados en el escrito de demanda son falsos, por lo que tomando en consideración que para resolver esas premisas, es necesario entrar al estudio de fondo, su análisis será reservado </w:t>
      </w:r>
      <w:r w:rsidRPr="001042B6">
        <w:rPr>
          <w:rFonts w:cs="Arial"/>
          <w:bCs/>
          <w:sz w:val="24"/>
        </w:rPr>
        <w:t>en el considerando</w:t>
      </w:r>
      <w:r>
        <w:rPr>
          <w:rFonts w:cs="Arial"/>
          <w:bCs/>
          <w:sz w:val="24"/>
        </w:rPr>
        <w:t xml:space="preserve"> siguiente, y no advi</w:t>
      </w:r>
      <w:r w:rsidRPr="001042B6">
        <w:rPr>
          <w:rFonts w:cs="Arial"/>
          <w:bCs/>
          <w:sz w:val="24"/>
        </w:rPr>
        <w:t>rt</w:t>
      </w:r>
      <w:r>
        <w:rPr>
          <w:rFonts w:cs="Arial"/>
          <w:bCs/>
          <w:sz w:val="24"/>
        </w:rPr>
        <w:t>iéndose la actualización de</w:t>
      </w:r>
      <w:r w:rsidRPr="001042B6">
        <w:rPr>
          <w:rFonts w:cs="Arial"/>
          <w:bCs/>
          <w:sz w:val="24"/>
        </w:rPr>
        <w:t xml:space="preserve"> alguna causa que impida entrar a estudiar el fondo del presente asunto,  este Juicio de Nulidad NO SE SOBRESEE.- - - </w:t>
      </w:r>
      <w:r>
        <w:rPr>
          <w:rFonts w:cs="Arial"/>
          <w:bCs/>
          <w:sz w:val="24"/>
        </w:rPr>
        <w:t xml:space="preserve">- - - - - - - - - - - - - - - - - - - - - </w:t>
      </w:r>
      <w:r w:rsidR="0005542E">
        <w:rPr>
          <w:rFonts w:cs="Arial"/>
          <w:bCs/>
          <w:sz w:val="24"/>
        </w:rPr>
        <w:t>- - - - - - - - -</w:t>
      </w:r>
    </w:p>
    <w:p w:rsidR="007354DA"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t>SEXTO.-</w:t>
      </w:r>
      <w:r w:rsidRPr="001042B6">
        <w:rPr>
          <w:rFonts w:ascii="Arial" w:hAnsi="Arial" w:cs="Arial"/>
          <w:sz w:val="24"/>
          <w:szCs w:val="24"/>
        </w:rPr>
        <w:tab/>
      </w:r>
      <w:r>
        <w:rPr>
          <w:rFonts w:ascii="Arial" w:hAnsi="Arial" w:cs="Arial"/>
          <w:sz w:val="24"/>
          <w:szCs w:val="24"/>
        </w:rPr>
        <w:t xml:space="preserve">El presente asunto se centra en resolver tres premisas propuestas por la actora, de acuerdo al contenido de su demandada, </w:t>
      </w:r>
      <w:r w:rsidRPr="00A9217E">
        <w:rPr>
          <w:rFonts w:ascii="Arial" w:hAnsi="Arial" w:cs="Arial"/>
          <w:b/>
          <w:sz w:val="24"/>
          <w:szCs w:val="24"/>
        </w:rPr>
        <w:t>la primera</w:t>
      </w:r>
      <w:r>
        <w:rPr>
          <w:rFonts w:ascii="Arial" w:hAnsi="Arial" w:cs="Arial"/>
          <w:sz w:val="24"/>
          <w:szCs w:val="24"/>
        </w:rPr>
        <w:t xml:space="preserve">, consiste en el hecho de que la pensión que le fue otorgada del 100% únicamente se consideró el salario base, sin contemplar las demás prestaciones que se le otorgaban como trabajadora de confianza, considerando que la pensión a que tiene derecho, es por el monto de $21,030.35 (VEINTIÚN MIL TREINTA PESOS 35/100 M.N.) y no $7, 682.00 (SIETE MIL SEISCIENTOS OCHENTA Y DOS PESOS 00/100 M.N.) que le fue otorgada; </w:t>
      </w:r>
      <w:r w:rsidRPr="00A9217E">
        <w:rPr>
          <w:rFonts w:ascii="Arial" w:hAnsi="Arial" w:cs="Arial"/>
          <w:b/>
          <w:sz w:val="24"/>
          <w:szCs w:val="24"/>
        </w:rPr>
        <w:t>la segunda</w:t>
      </w:r>
      <w:r>
        <w:rPr>
          <w:rFonts w:ascii="Arial" w:hAnsi="Arial" w:cs="Arial"/>
          <w:sz w:val="24"/>
          <w:szCs w:val="24"/>
        </w:rPr>
        <w:t>, consiste en determinar si resulta procedente el pago de la prestaciones consistentes en previsión social, despensa, vida cara, quinquenios, aguinaldo, estimulo del día del jubilados, día de las madres, y canasta navideña, las cuales únicamente se encuentran contempladas para los trabajadores de base</w:t>
      </w:r>
      <w:r w:rsidRPr="00A9217E">
        <w:rPr>
          <w:rFonts w:ascii="Arial" w:hAnsi="Arial" w:cs="Arial"/>
          <w:b/>
          <w:sz w:val="24"/>
          <w:szCs w:val="24"/>
        </w:rPr>
        <w:t>; y la tercera</w:t>
      </w:r>
      <w:r>
        <w:rPr>
          <w:rFonts w:ascii="Arial" w:hAnsi="Arial" w:cs="Arial"/>
          <w:sz w:val="24"/>
          <w:szCs w:val="24"/>
        </w:rPr>
        <w:t>, versa sobre la ilegalidad del descuento impuesto y que consiste en el 9% de su pensión, por concepto de cuota al fondo de pensiones.</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574909">
        <w:rPr>
          <w:rFonts w:ascii="Arial" w:hAnsi="Arial" w:cs="Arial"/>
          <w:sz w:val="24"/>
          <w:szCs w:val="24"/>
        </w:rPr>
        <w:t>Respecto a la</w:t>
      </w:r>
      <w:r w:rsidRPr="00497216">
        <w:rPr>
          <w:rFonts w:ascii="Arial" w:hAnsi="Arial" w:cs="Arial"/>
          <w:b/>
          <w:sz w:val="24"/>
          <w:szCs w:val="24"/>
        </w:rPr>
        <w:t xml:space="preserve"> </w:t>
      </w:r>
      <w:r w:rsidRPr="00574909">
        <w:rPr>
          <w:rFonts w:ascii="Arial" w:hAnsi="Arial" w:cs="Arial"/>
          <w:b/>
          <w:sz w:val="24"/>
          <w:szCs w:val="24"/>
          <w:u w:val="single"/>
        </w:rPr>
        <w:t>primera premisa</w:t>
      </w:r>
      <w:r w:rsidRPr="00497216">
        <w:rPr>
          <w:rFonts w:ascii="Arial" w:hAnsi="Arial" w:cs="Arial"/>
          <w:sz w:val="24"/>
          <w:szCs w:val="24"/>
        </w:rPr>
        <w:t>,</w:t>
      </w:r>
      <w:r>
        <w:rPr>
          <w:rFonts w:ascii="Arial" w:hAnsi="Arial" w:cs="Arial"/>
          <w:sz w:val="24"/>
          <w:szCs w:val="24"/>
        </w:rPr>
        <w:t xml:space="preserve"> se tome en cuenta que de conformidad con lo dispuesto en el artículo 53 de la Ley de Pensiones para los Trabajadores del Gobierno del Estado, el monto de las pensiones se calcula promediando únicamente  el sueldo base del último año cotizado como trabajador activo, en el caso particular, el sueldo base que la actora cotizó en el último año de servicio, de acuerdo a sus talones de pago que remitió (fojas 21 y 22), fue por la cantidad de $4, 002.50 (CUATRO MIL DOS PESOS 50/100 M.N.) quincenales, es decir $ 8, 005.00 (OCHO MIL CINCO PESOS 00/100 M.N.) mensuales, cantidad que de acuerdo a la constancia de pago de pensión que obra a foja 65, fue pagada a la actora, respecto del mes de enero de dos mil diecinueve.</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Respecto a los demás conceptos que aparecen en los recibo de pago que remitió la actora y que considera que deben ser pagados y agregados a su pensión, se tome en consideración que ha sido criterio del más alto Tribunal del País, que la base salarial para el cálculo de las pensiones, se integrará únicamente por los conceptos de sueldo, sobresueldo y compensación establecidos en el tabulador regional, precisando que el sueldo básico que se toma en cuenta para determinar el monto de las cuotas y aportaciones, así como de los beneficios económicos a que tienen derecho los trabajadores sujetos al régimen de pensiones, será el sueldo que por cada puesto existe señalado en los que se encuentran incluidos el sueldo, sobresueldo y compensación, excluyendo así cualquier otra prestación que el trabajador perciba con motivo de su trabajo; en ese sentido, aun cuando los demás conceptos dispuestos en los recibos de pago, se hayan otorgado de manera </w:t>
      </w:r>
      <w:r>
        <w:rPr>
          <w:rFonts w:ascii="Arial" w:hAnsi="Arial" w:cs="Arial"/>
          <w:sz w:val="24"/>
          <w:szCs w:val="24"/>
        </w:rPr>
        <w:lastRenderedPageBreak/>
        <w:t>regular y permanente a la actora, en calidad de trabajadora en activo, no deben considerarse para efectos de la cuantificación de la pensión, por no ser parte del sueldo presupuestal, sino prestaciones convencionales cuyo fin es proporcionar al trabajador cierta cantidad en dinero como estímulo para cubrir los propios gastos, es decir, son percepciones que no forman parte del sueldo básico, pues de acuerdo al nombramiento otorgado a la actora (foja 58), el sueldo contemplado para su cargo con la clave presupuestal 4060031620200000300 por la cantidad de $7,682.00 (SIETE MIL SEISCIENTOS OCHENTA Y DOS PESOS 00/100 M.N.), misma que le fue otorgada en un 100%, por lo que se desestima que deba tomarse en cuenta para la cuantificación de su pensión las prestaciones que refirió en su demanda, incluso las consistentes en apoyo social por riesgo de servicio de procuración de justicia y estímulo a la capacidad y desempeño laboral del personal de confianza, tal es el criterio sostenido en la contradicción de tesis 187/2009, entre las sustentadas por los Tribunales Colegiados Primero, Segundo, Tercero, Cuarto, Quinto, Sexto, Séptimo, Octavo, Noveno, Décimo, Décimo Primero, Décimo Segundo, Décimo Tercero, Décimo Cuarto, Décimo Quinto, Décimo Sexto y Décimo Séptimo, todos en materia administrativa del primer circuito, en el que prevaleció con carácter de jurisprudencia la tesis de rubro: “</w:t>
      </w:r>
      <w:r w:rsidRPr="00263CB8">
        <w:rPr>
          <w:rFonts w:ascii="Arial" w:hAnsi="Arial" w:cs="Arial"/>
          <w:i/>
          <w:sz w:val="24"/>
          <w:szCs w:val="24"/>
        </w:rPr>
        <w:t>PENSIÓN JUBILATORIA DE LOS TRABAJADORES AL SERVICIO DEL ESTADO. LA BASE SALARIAL PARA SU CÁLCULO SE INTEGRA ÚNICAMENTE POR LOS CONCEPTOS DE SUELDO, SOBRESUELDO Y COMPENSACIÓN ESTABLECIDOS EN EL TABULADOR REGIONAL (ALCANCES DE LA JURISPRUDENCIA 2a./J. 126/2008)</w:t>
      </w:r>
      <w:r w:rsidRPr="00263CB8">
        <w:rPr>
          <w:rFonts w:ascii="Arial" w:hAnsi="Arial" w:cs="Arial"/>
          <w:sz w:val="24"/>
          <w:szCs w:val="24"/>
        </w:rPr>
        <w:t>.</w:t>
      </w:r>
      <w:r>
        <w:rPr>
          <w:rFonts w:ascii="Arial" w:hAnsi="Arial" w:cs="Arial"/>
          <w:sz w:val="24"/>
          <w:szCs w:val="24"/>
        </w:rPr>
        <w:t>”</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Además</w:t>
      </w:r>
      <w:proofErr w:type="gramEnd"/>
      <w:r>
        <w:rPr>
          <w:rFonts w:ascii="Arial" w:hAnsi="Arial" w:cs="Arial"/>
          <w:sz w:val="24"/>
          <w:szCs w:val="24"/>
        </w:rPr>
        <w:t xml:space="preserve"> la jurisprudencia con datos de identificación: Semanario Judicial de la Federación y su Gaceta, Tomo XXIX, Febrero de 2009, Novena Época, pág. 433, registro 167971, Jurisprudencia Laboral, Segunda Sala, y de rubro: “</w:t>
      </w:r>
      <w:r w:rsidRPr="009C57AA">
        <w:rPr>
          <w:rFonts w:ascii="Arial" w:hAnsi="Arial" w:cs="Arial"/>
          <w:i/>
          <w:sz w:val="24"/>
          <w:szCs w:val="24"/>
        </w:rPr>
        <w:t>AYUDA DE DESPENSA. NO DEBE CONSIDERARSE PARA EFECTOS DE LA CUANTIFICACIÓN DE AL PENSIÓN JUBILATORIA DE LOS TRABAJADORES DEL ESTADO</w:t>
      </w:r>
      <w:r>
        <w:rPr>
          <w:rFonts w:ascii="Arial" w:hAnsi="Arial" w:cs="Arial"/>
          <w:sz w:val="24"/>
          <w:szCs w:val="24"/>
        </w:rPr>
        <w:t>.”</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respecta a </w:t>
      </w:r>
      <w:r w:rsidRPr="00574909">
        <w:rPr>
          <w:rFonts w:ascii="Arial" w:hAnsi="Arial" w:cs="Arial"/>
          <w:b/>
          <w:sz w:val="24"/>
          <w:szCs w:val="24"/>
          <w:u w:val="single"/>
        </w:rPr>
        <w:t>la segunda premisa</w:t>
      </w:r>
      <w:r>
        <w:rPr>
          <w:rFonts w:ascii="Arial" w:hAnsi="Arial" w:cs="Arial"/>
          <w:sz w:val="24"/>
          <w:szCs w:val="24"/>
        </w:rPr>
        <w:t>, e</w:t>
      </w:r>
      <w:r w:rsidRPr="001042B6">
        <w:rPr>
          <w:rFonts w:ascii="Arial" w:hAnsi="Arial" w:cs="Arial"/>
          <w:sz w:val="24"/>
          <w:szCs w:val="24"/>
        </w:rPr>
        <w:t xml:space="preserve">l </w:t>
      </w:r>
      <w:r w:rsidRPr="009035DC">
        <w:rPr>
          <w:rFonts w:ascii="Arial" w:hAnsi="Arial" w:cs="Arial"/>
          <w:sz w:val="24"/>
          <w:szCs w:val="24"/>
        </w:rPr>
        <w:t xml:space="preserve">punto medular se centra, en determinar si resulta </w:t>
      </w:r>
      <w:r w:rsidRPr="003B0F52">
        <w:rPr>
          <w:rFonts w:ascii="Arial" w:hAnsi="Arial" w:cs="Arial"/>
          <w:sz w:val="24"/>
          <w:szCs w:val="24"/>
        </w:rPr>
        <w:t>procedente el pago de las prestaciones solicitadas por la actora (trabajadora de confianza),</w:t>
      </w:r>
      <w:r>
        <w:rPr>
          <w:rFonts w:ascii="Arial" w:hAnsi="Arial" w:cs="Arial"/>
          <w:sz w:val="24"/>
          <w:szCs w:val="24"/>
        </w:rPr>
        <w:t xml:space="preserve"> consistentes en previsión social múltiple, despensa, vida cara, quinquenios, aguinaldo, estimulo del día del jubilado, día de las madres y canasta navideña, percepciones contempladas únicamente para los trabajadores de base en el artículo 54 de la Ley de Pensiones para los Trabajadores del Gobierno del Estado.</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Ahora bien, el artículo 54 de la Ley de Pensiones para los Trabajadores del Gobierno del Estado de Oaxaca, dispone:</w:t>
      </w:r>
    </w:p>
    <w:p w:rsidR="007354DA" w:rsidRPr="00BE7257" w:rsidRDefault="007354DA" w:rsidP="007354DA">
      <w:pPr>
        <w:tabs>
          <w:tab w:val="left" w:pos="284"/>
          <w:tab w:val="left" w:pos="567"/>
        </w:tabs>
        <w:spacing w:after="0" w:line="240" w:lineRule="auto"/>
        <w:jc w:val="both"/>
        <w:rPr>
          <w:rFonts w:ascii="Arial" w:hAnsi="Arial" w:cs="Arial"/>
          <w:i/>
          <w:sz w:val="24"/>
          <w:szCs w:val="24"/>
        </w:rPr>
      </w:pP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7354DA" w:rsidRPr="00BE7257" w:rsidRDefault="007354DA" w:rsidP="007354DA">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7354DA" w:rsidRPr="00BE7257" w:rsidRDefault="007354DA" w:rsidP="007354DA">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7354DA" w:rsidRPr="00BE7257" w:rsidRDefault="007354DA" w:rsidP="007354DA">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7354DA" w:rsidRPr="00BE7257" w:rsidRDefault="007354DA" w:rsidP="007354DA">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7354DA" w:rsidRDefault="007354DA" w:rsidP="007354DA">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dicho dispositivo legal únicamente contempla el pago de las percepciones para los jubilados de base, no así para los de confianza, como es el caso, por lo que ésta Juzgadora procederá a analizar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En base a dichas premisas, esta Juzgadora procede al análisis del derecho a la seguridad social de los trabajadores de confianza, considerando que el artículo 123 apartado B fracción XIV, de la Carta Magna establece:</w:t>
      </w:r>
    </w:p>
    <w:p w:rsidR="007354DA" w:rsidRPr="00404770" w:rsidRDefault="007354DA" w:rsidP="007354DA">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7354DA" w:rsidRPr="00404770" w:rsidRDefault="007354DA" w:rsidP="007354DA">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 xml:space="preserve">El Congreso de la Unión, sin contravenir a las bases siguientes deberá expedir leyes sobre el trabajo, las cuales </w:t>
      </w:r>
      <w:proofErr w:type="gramStart"/>
      <w:r w:rsidRPr="00404770">
        <w:rPr>
          <w:rFonts w:ascii="Arial" w:hAnsi="Arial" w:cs="Arial"/>
          <w:i/>
          <w:sz w:val="24"/>
          <w:szCs w:val="24"/>
        </w:rPr>
        <w:t>regirán:…</w:t>
      </w:r>
      <w:proofErr w:type="gramEnd"/>
      <w:r w:rsidRPr="00404770">
        <w:rPr>
          <w:rFonts w:ascii="Arial" w:hAnsi="Arial" w:cs="Arial"/>
          <w:i/>
          <w:sz w:val="24"/>
          <w:szCs w:val="24"/>
        </w:rPr>
        <w:t>.</w:t>
      </w:r>
    </w:p>
    <w:p w:rsidR="007354DA" w:rsidRPr="00404770" w:rsidRDefault="007354DA" w:rsidP="007354DA">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7354DA" w:rsidRPr="00404770" w:rsidRDefault="007354DA" w:rsidP="007354DA">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w:t>
      </w:r>
      <w:proofErr w:type="gramStart"/>
      <w:r w:rsidRPr="00404770">
        <w:rPr>
          <w:rFonts w:ascii="Arial" w:hAnsi="Arial" w:cs="Arial"/>
          <w:i/>
          <w:sz w:val="24"/>
          <w:szCs w:val="24"/>
        </w:rPr>
        <w:t>trabajadores:…</w:t>
      </w:r>
      <w:proofErr w:type="gramEnd"/>
    </w:p>
    <w:p w:rsidR="007354DA" w:rsidRDefault="007354DA" w:rsidP="007354DA">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de lo transcrito se advierte, que la máxima legislación del Estado Mexicano, contempla la existencia de los trabajadores con la categoría de confianza, los cuáles considera que </w:t>
      </w:r>
      <w:proofErr w:type="gramStart"/>
      <w:r>
        <w:rPr>
          <w:rFonts w:ascii="Arial" w:hAnsi="Arial" w:cs="Arial"/>
          <w:sz w:val="24"/>
          <w:szCs w:val="24"/>
        </w:rPr>
        <w:t>disfrutaran</w:t>
      </w:r>
      <w:proofErr w:type="gramEnd"/>
      <w:r>
        <w:rPr>
          <w:rFonts w:ascii="Arial" w:hAnsi="Arial" w:cs="Arial"/>
          <w:sz w:val="24"/>
          <w:szCs w:val="24"/>
        </w:rPr>
        <w:t xml:space="preserve"> de las medidas de protección al salario; y en el tema que nos ocupa, gozarán de los beneficios de la seguridad social, es decir, que en la Carta Magna se protege el derecho humano a la seguridad social de todos los trabajadores incluidos los de confianza, pues no hace distinción alguna. </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deba considerar las normas que consagran libertades y prerrogativas básicas de las personas, por tener la característica de ser universal, inalienable, indivisible, interdependiente e interaccionado con otros derechos, pero sobre todo buscando un carácter progresivo,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tal y como lo prevé el artículo 1 segundo párrafo de la Constitución Política de los Estados Unidos Mexicanos; por ello, el artículo 3 de la Ley de Pensiones para los Empleados del Gobierno del Estado de Oaxaca (vigente en la fecha del nombramiento de la actora), se había alcanzado el estándar de no distinción entre los trabajadores de base y de confianza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sin duda que el carácter progresivo que contempla la Constitución Política de los Estados Unidos Mexicanos, resulta violentado con la disposición del artículo 54 fracción I de la Ley de Pensiones para los Trabajadores del Gobierno del Estado de Oaxaca </w:t>
      </w:r>
      <w:r>
        <w:rPr>
          <w:rFonts w:ascii="Arial" w:hAnsi="Arial" w:cs="Arial"/>
          <w:sz w:val="24"/>
          <w:szCs w:val="24"/>
        </w:rPr>
        <w:lastRenderedPageBreak/>
        <w:t xml:space="preserve">(actualmente vigente), que contempla únicamente a los trabajadores de base, para recibir las percepciones que solicitó la actora,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pues los priva de la protección integral de la seguridad social, consecuentemente, al no haberse otorgado dichas prestaciones a la actora, se inobservó  los supuestos del artículo 1 fracción III, de la Ley Federal para Prevenir y Eliminar la discriminación, que para mayor comprensión se transcribe:</w:t>
      </w:r>
    </w:p>
    <w:p w:rsidR="007354DA" w:rsidRPr="00984554" w:rsidRDefault="007354DA" w:rsidP="007354DA">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7354DA" w:rsidRPr="00984554" w:rsidRDefault="007354DA" w:rsidP="007354DA">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7354DA" w:rsidRPr="00984554" w:rsidRDefault="007354DA" w:rsidP="007354DA">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8"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w:t>
      </w:r>
      <w:r>
        <w:rPr>
          <w:rFonts w:ascii="Arial" w:hAnsi="Arial" w:cs="Arial"/>
          <w:sz w:val="24"/>
          <w:szCs w:val="24"/>
        </w:rPr>
        <w:lastRenderedPageBreak/>
        <w:t>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9"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 ese derecho humano a</w:t>
      </w:r>
      <w:r>
        <w:rPr>
          <w:rFonts w:ascii="Arial" w:hAnsi="Arial" w:cs="Arial"/>
          <w:sz w:val="24"/>
          <w:szCs w:val="24"/>
        </w:rPr>
        <w:t xml:space="preserve"> la seguridad social de los trabajadores de confianza.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Por lo que si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lo cierto es, que existe la facultad de que todas las autoridades ordinarias, </w:t>
      </w:r>
      <w:r w:rsidRPr="001042B6">
        <w:rPr>
          <w:rFonts w:ascii="Arial" w:hAnsi="Arial" w:cs="Arial"/>
          <w:b/>
          <w:sz w:val="24"/>
          <w:szCs w:val="24"/>
        </w:rPr>
        <w:t>dejen de aplicar normas inferiores,</w:t>
      </w:r>
      <w:r w:rsidRPr="001042B6">
        <w:rPr>
          <w:rFonts w:ascii="Arial" w:hAnsi="Arial" w:cs="Arial"/>
          <w:sz w:val="24"/>
          <w:szCs w:val="24"/>
        </w:rPr>
        <w:t xml:space="preserve"> dando preferencia a los contenidos de la Constitución y de los tratados en la materia.</w:t>
      </w:r>
    </w:p>
    <w:p w:rsidR="007354DA"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día de las madres y </w:t>
      </w:r>
      <w:r w:rsidRPr="00574909">
        <w:rPr>
          <w:rFonts w:ascii="Arial" w:hAnsi="Arial" w:cs="Arial"/>
          <w:sz w:val="24"/>
          <w:szCs w:val="24"/>
        </w:rPr>
        <w:t>canasta navideña, para los trabajadores de base</w:t>
      </w:r>
      <w:r w:rsidRPr="00574909">
        <w:rPr>
          <w:rFonts w:ascii="Arial" w:hAnsi="Arial" w:cs="Arial"/>
          <w:b/>
          <w:sz w:val="24"/>
          <w:szCs w:val="24"/>
        </w:rPr>
        <w:t xml:space="preserve">, </w:t>
      </w:r>
      <w:r w:rsidRPr="00574909">
        <w:rPr>
          <w:rFonts w:ascii="Arial" w:hAnsi="Arial" w:cs="Arial"/>
          <w:sz w:val="24"/>
          <w:szCs w:val="24"/>
        </w:rPr>
        <w:t xml:space="preserve">pues en el caso particular </w:t>
      </w:r>
      <w:r w:rsidR="001D22A5">
        <w:rPr>
          <w:rFonts w:ascii="Arial" w:hAnsi="Arial" w:cs="Arial"/>
          <w:sz w:val="24"/>
          <w:szCs w:val="24"/>
        </w:rPr>
        <w:t>***** ***** ***** *****</w:t>
      </w:r>
      <w:r>
        <w:rPr>
          <w:rFonts w:ascii="Arial" w:hAnsi="Arial" w:cs="Arial"/>
          <w:sz w:val="24"/>
          <w:szCs w:val="24"/>
        </w:rPr>
        <w:t xml:space="preserve">, </w:t>
      </w:r>
      <w:r w:rsidRPr="001042B6">
        <w:rPr>
          <w:rFonts w:ascii="Arial" w:hAnsi="Arial" w:cs="Arial"/>
          <w:sz w:val="24"/>
          <w:szCs w:val="24"/>
        </w:rPr>
        <w:t xml:space="preserve">debe obtener </w:t>
      </w:r>
      <w:r>
        <w:rPr>
          <w:rFonts w:ascii="Arial" w:hAnsi="Arial" w:cs="Arial"/>
          <w:sz w:val="24"/>
          <w:szCs w:val="24"/>
        </w:rPr>
        <w:t>esas prestaciones evitando la discriminación, y en consecuencia, se ordena a la autoridad demandada conceder dichas prestaciones.</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se refiere a </w:t>
      </w:r>
      <w:r w:rsidRPr="00574909">
        <w:rPr>
          <w:rFonts w:ascii="Arial" w:hAnsi="Arial" w:cs="Arial"/>
          <w:b/>
          <w:sz w:val="24"/>
          <w:szCs w:val="24"/>
          <w:u w:val="single"/>
        </w:rPr>
        <w:t>la tercer premisa</w:t>
      </w:r>
      <w:r>
        <w:rPr>
          <w:rFonts w:ascii="Arial" w:hAnsi="Arial" w:cs="Arial"/>
          <w:sz w:val="24"/>
          <w:szCs w:val="24"/>
        </w:rPr>
        <w:t xml:space="preserve">, consistente en la reducción del 9% de la pensión, se concede razón a la actora, en cuanto a su inconstitucionalidad, porque dicho descuento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w:t>
      </w:r>
      <w:r>
        <w:rPr>
          <w:rFonts w:ascii="Arial" w:hAnsi="Arial" w:cs="Arial"/>
          <w:sz w:val="24"/>
          <w:szCs w:val="24"/>
        </w:rPr>
        <w:lastRenderedPageBreak/>
        <w:t xml:space="preserve">la aportación regulada por el legislador local (9% a la pensión), no encuadra en ninguna de las </w:t>
      </w:r>
      <w:proofErr w:type="spellStart"/>
      <w:r>
        <w:rPr>
          <w:rFonts w:ascii="Arial" w:hAnsi="Arial" w:cs="Arial"/>
          <w:sz w:val="24"/>
          <w:szCs w:val="24"/>
        </w:rPr>
        <w:t>hipótesis</w:t>
      </w:r>
      <w:proofErr w:type="spellEnd"/>
      <w:r>
        <w:rPr>
          <w:rFonts w:ascii="Arial" w:hAnsi="Arial" w:cs="Arial"/>
          <w:sz w:val="24"/>
          <w:szCs w:val="24"/>
        </w:rPr>
        <w:t xml:space="preserve"> permitidas, ya que se traduce en un descuento indebido del monto de la pensión jubilatoria, encaminado a constituir el fondo monetario con el que se cubriría la misma.</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determinó, que los artículos señalados, violan el Principio de Igualdad, en tanto ubican a trabajadores jubilados y pensionados, en </w:t>
      </w:r>
      <w:proofErr w:type="spellStart"/>
      <w:r>
        <w:rPr>
          <w:rFonts w:ascii="Arial" w:hAnsi="Arial" w:cs="Arial"/>
          <w:sz w:val="24"/>
          <w:szCs w:val="24"/>
        </w:rPr>
        <w:t>hipótesis</w:t>
      </w:r>
      <w:proofErr w:type="spellEnd"/>
      <w:r>
        <w:rPr>
          <w:rFonts w:ascii="Arial" w:hAnsi="Arial" w:cs="Arial"/>
          <w:sz w:val="24"/>
          <w:szCs w:val="24"/>
        </w:rPr>
        <w:t xml:space="preserve">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Estados Unidos Mexicanos, en perjuicio del actor, que se refiere a su Derecho a la Igualdad y a la no discriminación, de ahí la ilegalidad del descuento del nueve por cierto a la pensión obsequiada. </w:t>
      </w:r>
    </w:p>
    <w:p w:rsidR="007354DA"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 anterior consideración, la Jurisprudencia con datos de identificación, Gaceta del Semanario Judicial de la Federación, Libro 11, </w:t>
      </w:r>
      <w:proofErr w:type="gramStart"/>
      <w:r>
        <w:rPr>
          <w:rFonts w:ascii="Arial" w:hAnsi="Arial" w:cs="Arial"/>
          <w:sz w:val="24"/>
          <w:szCs w:val="24"/>
        </w:rPr>
        <w:t>Octubre</w:t>
      </w:r>
      <w:proofErr w:type="gramEnd"/>
      <w:r>
        <w:rPr>
          <w:rFonts w:ascii="Arial" w:hAnsi="Arial" w:cs="Arial"/>
          <w:sz w:val="24"/>
          <w:szCs w:val="24"/>
        </w:rPr>
        <w:t xml:space="preserv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AL DESATENDER LOS ARTÍCULOS 26, NUMERAL 3 Y 67, INCISO B), DEL CONVENIO NÚMERO 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1D22A5">
        <w:rPr>
          <w:rFonts w:ascii="Arial" w:hAnsi="Arial" w:cs="Arial"/>
          <w:sz w:val="24"/>
          <w:szCs w:val="24"/>
        </w:rPr>
        <w:t>**/**/****/2018</w:t>
      </w:r>
      <w:r>
        <w:rPr>
          <w:rFonts w:ascii="Arial" w:hAnsi="Arial" w:cs="Arial"/>
          <w:sz w:val="24"/>
          <w:szCs w:val="24"/>
        </w:rPr>
        <w:t xml:space="preserve">, de fecha </w:t>
      </w:r>
      <w:r w:rsidR="001D22A5">
        <w:rPr>
          <w:rFonts w:ascii="Arial" w:hAnsi="Arial" w:cs="Arial"/>
          <w:sz w:val="24"/>
          <w:szCs w:val="24"/>
        </w:rPr>
        <w:t xml:space="preserve">***** de ***** </w:t>
      </w:r>
      <w:r>
        <w:rPr>
          <w:rFonts w:ascii="Arial" w:hAnsi="Arial" w:cs="Arial"/>
          <w:sz w:val="24"/>
          <w:szCs w:val="24"/>
        </w:rPr>
        <w:t xml:space="preserve">de dos mil dieciocho </w:t>
      </w:r>
      <w:r w:rsidR="001D22A5">
        <w:rPr>
          <w:rFonts w:ascii="Arial" w:hAnsi="Arial" w:cs="Arial"/>
          <w:sz w:val="24"/>
          <w:szCs w:val="24"/>
        </w:rPr>
        <w:t>(**/**/2018)</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 la actora,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lastRenderedPageBreak/>
        <w:t>EFECTO</w:t>
      </w:r>
      <w:r>
        <w:rPr>
          <w:rFonts w:ascii="Arial" w:hAnsi="Arial" w:cs="Arial"/>
          <w:sz w:val="24"/>
          <w:szCs w:val="24"/>
        </w:rPr>
        <w:t>, de que la autoridad demandada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w:t>
      </w:r>
      <w:r w:rsidRPr="001042B6">
        <w:rPr>
          <w:rFonts w:ascii="Arial" w:hAnsi="Arial" w:cs="Arial"/>
          <w:sz w:val="24"/>
          <w:szCs w:val="24"/>
        </w:rPr>
        <w:t xml:space="preserve">lo anterior de conformidad con lo dispuesto en los artículos 207, 208, y 209 de la Ley de Procedimiento y Justicia Administrativa para el Estado de Oaxaca.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Sirven de apoyo a lo anterior, las Jurisprudencias sustentadas por la Suprema Corte de Justicia de la Nación, con datos de identificación: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 xml:space="preserve">.” </w:t>
      </w:r>
    </w:p>
    <w:p w:rsidR="007354DA" w:rsidRPr="001042B6" w:rsidRDefault="007354DA" w:rsidP="007354DA">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p>
    <w:p w:rsidR="007354DA" w:rsidRDefault="007354DA" w:rsidP="007354DA">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1E0F1F">
        <w:rPr>
          <w:rFonts w:ascii="Arial" w:hAnsi="Arial" w:cs="Arial"/>
          <w:sz w:val="24"/>
          <w:szCs w:val="24"/>
        </w:rPr>
        <w:t xml:space="preserve">- - - </w:t>
      </w:r>
    </w:p>
    <w:p w:rsidR="007354DA" w:rsidRDefault="007354DA" w:rsidP="007354D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7354DA" w:rsidRDefault="007354DA" w:rsidP="007354D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9D5F78">
        <w:rPr>
          <w:rFonts w:ascii="Arial" w:hAnsi="Arial" w:cs="Arial"/>
          <w:sz w:val="24"/>
          <w:szCs w:val="24"/>
        </w:rPr>
        <w:t xml:space="preserve">- </w:t>
      </w:r>
    </w:p>
    <w:p w:rsidR="007354DA" w:rsidRDefault="007354DA" w:rsidP="007354D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7A485C">
        <w:rPr>
          <w:rFonts w:ascii="Arial" w:hAnsi="Arial" w:cs="Arial"/>
          <w:sz w:val="24"/>
          <w:szCs w:val="24"/>
        </w:rPr>
        <w:t>- - - - - - - - -</w:t>
      </w:r>
    </w:p>
    <w:p w:rsidR="007354DA" w:rsidRDefault="007354DA" w:rsidP="007354DA">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1D22A5">
        <w:rPr>
          <w:rFonts w:ascii="Arial" w:hAnsi="Arial" w:cs="Arial"/>
          <w:sz w:val="24"/>
          <w:szCs w:val="24"/>
        </w:rPr>
        <w:t>**/**/****/2018</w:t>
      </w:r>
      <w:r>
        <w:rPr>
          <w:rFonts w:ascii="Arial" w:hAnsi="Arial" w:cs="Arial"/>
          <w:sz w:val="24"/>
          <w:szCs w:val="24"/>
        </w:rPr>
        <w:t xml:space="preserve">, de fecha </w:t>
      </w:r>
      <w:r w:rsidR="001D22A5">
        <w:rPr>
          <w:rFonts w:ascii="Arial" w:hAnsi="Arial" w:cs="Arial"/>
          <w:sz w:val="24"/>
          <w:szCs w:val="24"/>
        </w:rPr>
        <w:t xml:space="preserve">***** de ***** </w:t>
      </w:r>
      <w:r>
        <w:rPr>
          <w:rFonts w:ascii="Arial" w:hAnsi="Arial" w:cs="Arial"/>
          <w:sz w:val="24"/>
          <w:szCs w:val="24"/>
        </w:rPr>
        <w:t xml:space="preserve">de dos mil dieciocho </w:t>
      </w:r>
      <w:r w:rsidR="001D22A5">
        <w:rPr>
          <w:rFonts w:ascii="Arial" w:hAnsi="Arial" w:cs="Arial"/>
          <w:sz w:val="24"/>
          <w:szCs w:val="24"/>
        </w:rPr>
        <w:t>(**/**/2018)</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 la actora,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xml:space="preserve"> de que la autoridad demandada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lo anterior en términos precisados en el considerando SEXTO de esta resolución. - - - - - - - - - - - - - - - - - - - - - - - - - - - - - - - - - - - - - - - - - </w:t>
      </w:r>
      <w:r w:rsidR="006F4F43">
        <w:rPr>
          <w:rFonts w:ascii="Arial" w:hAnsi="Arial" w:cs="Arial"/>
          <w:sz w:val="24"/>
          <w:szCs w:val="24"/>
        </w:rPr>
        <w:t>- - - - - - -</w:t>
      </w:r>
    </w:p>
    <w:p w:rsidR="007354DA" w:rsidRDefault="007354DA" w:rsidP="007354DA">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7354DA" w:rsidRDefault="007354DA" w:rsidP="007354D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E46DF">
        <w:rPr>
          <w:rFonts w:ascii="Arial" w:hAnsi="Arial" w:cs="Arial"/>
          <w:sz w:val="24"/>
          <w:szCs w:val="24"/>
        </w:rPr>
        <w:t xml:space="preserve">- - - - - - - - - - - </w:t>
      </w:r>
    </w:p>
    <w:p w:rsidR="007354DA" w:rsidRDefault="007354DA" w:rsidP="007354DA">
      <w:pPr>
        <w:tabs>
          <w:tab w:val="left" w:pos="284"/>
          <w:tab w:val="left" w:pos="567"/>
        </w:tabs>
        <w:spacing w:before="240" w:line="360" w:lineRule="auto"/>
        <w:jc w:val="both"/>
        <w:rPr>
          <w:rFonts w:ascii="Arial" w:hAnsi="Arial" w:cs="Arial"/>
          <w:sz w:val="24"/>
          <w:szCs w:val="24"/>
        </w:rPr>
      </w:pPr>
    </w:p>
    <w:p w:rsidR="007354DA" w:rsidRDefault="007354DA" w:rsidP="007354DA">
      <w:pPr>
        <w:tabs>
          <w:tab w:val="center" w:pos="4574"/>
        </w:tabs>
        <w:spacing w:line="360" w:lineRule="auto"/>
        <w:ind w:firstLine="708"/>
        <w:jc w:val="both"/>
        <w:rPr>
          <w:rFonts w:ascii="Arial" w:hAnsi="Arial" w:cs="Arial"/>
          <w:sz w:val="24"/>
          <w:szCs w:val="24"/>
        </w:rPr>
      </w:pPr>
    </w:p>
    <w:p w:rsidR="00D4180F" w:rsidRPr="007354DA" w:rsidRDefault="00D4180F" w:rsidP="007354DA"/>
    <w:sectPr w:rsidR="00D4180F" w:rsidRPr="007354DA" w:rsidSect="001D22A5">
      <w:headerReference w:type="even" r:id="rId10"/>
      <w:headerReference w:type="default" r:id="rId11"/>
      <w:footerReference w:type="default" r:id="rId12"/>
      <w:headerReference w:type="first" r:id="rId13"/>
      <w:pgSz w:w="12240" w:h="20160" w:code="5"/>
      <w:pgMar w:top="851" w:right="1701" w:bottom="1843"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366" w:rsidRDefault="00216366" w:rsidP="00D833EF">
      <w:pPr>
        <w:spacing w:after="0" w:line="240" w:lineRule="auto"/>
      </w:pPr>
      <w:r>
        <w:separator/>
      </w:r>
    </w:p>
  </w:endnote>
  <w:endnote w:type="continuationSeparator" w:id="0">
    <w:p w:rsidR="00216366" w:rsidRDefault="00216366"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92516B"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E421FD" w:rsidRPr="00E421FD">
                      <w:rPr>
                        <w:noProof/>
                        <w:color w:val="000000" w:themeColor="text1"/>
                        <w:lang w:val="es-ES"/>
                      </w:rPr>
                      <w:t>15</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366" w:rsidRDefault="00216366" w:rsidP="00D833EF">
      <w:pPr>
        <w:spacing w:after="0" w:line="240" w:lineRule="auto"/>
      </w:pPr>
      <w:r>
        <w:separator/>
      </w:r>
    </w:p>
  </w:footnote>
  <w:footnote w:type="continuationSeparator" w:id="0">
    <w:p w:rsidR="00216366" w:rsidRDefault="00216366"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1D22A5">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0.3pt;margin-top:287.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1D22A5" w:rsidRPr="003B6E97" w:rsidRDefault="001D22A5" w:rsidP="001D22A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120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1D22A5"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1205"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1D22A5" w:rsidRPr="003B6E97" w:rsidRDefault="001D22A5" w:rsidP="001D22A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2516B">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2D672596" wp14:editId="6919ACE7">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D86E40">
      <w:rPr>
        <w:rFonts w:ascii="Bookman Old Style" w:hAnsi="Bookman Old Style"/>
        <w:b/>
      </w:rPr>
      <w:t>0</w:t>
    </w:r>
    <w:r w:rsidR="007354DA">
      <w:rPr>
        <w:rFonts w:ascii="Bookman Old Style" w:hAnsi="Bookman Old Style"/>
        <w:b/>
      </w:rPr>
      <w:t>118</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D86E40">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1C765346" wp14:editId="026574D5">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1D22A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1203"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5"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6"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086F"/>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A6"/>
    <w:rsid w:val="00044D5E"/>
    <w:rsid w:val="000450A0"/>
    <w:rsid w:val="0005061B"/>
    <w:rsid w:val="00050A4D"/>
    <w:rsid w:val="000513BB"/>
    <w:rsid w:val="00052BA6"/>
    <w:rsid w:val="00052F9C"/>
    <w:rsid w:val="00053115"/>
    <w:rsid w:val="00053AD2"/>
    <w:rsid w:val="0005542E"/>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1001EA"/>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D0503"/>
    <w:rsid w:val="001D1E27"/>
    <w:rsid w:val="001D22A5"/>
    <w:rsid w:val="001D2846"/>
    <w:rsid w:val="001D2F32"/>
    <w:rsid w:val="001D3235"/>
    <w:rsid w:val="001D5505"/>
    <w:rsid w:val="001D5F52"/>
    <w:rsid w:val="001D7F5A"/>
    <w:rsid w:val="001E0CF9"/>
    <w:rsid w:val="001E0F1F"/>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16366"/>
    <w:rsid w:val="002168D4"/>
    <w:rsid w:val="0022023E"/>
    <w:rsid w:val="00220B0B"/>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67E7"/>
    <w:rsid w:val="002B081A"/>
    <w:rsid w:val="002B1968"/>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06775"/>
    <w:rsid w:val="00310272"/>
    <w:rsid w:val="003116AE"/>
    <w:rsid w:val="00311A47"/>
    <w:rsid w:val="00313EF7"/>
    <w:rsid w:val="0031596B"/>
    <w:rsid w:val="0031764C"/>
    <w:rsid w:val="00317F1D"/>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4E51"/>
    <w:rsid w:val="003E53B0"/>
    <w:rsid w:val="003E59D7"/>
    <w:rsid w:val="003E5B1F"/>
    <w:rsid w:val="003F08CE"/>
    <w:rsid w:val="003F1358"/>
    <w:rsid w:val="003F21FE"/>
    <w:rsid w:val="003F273A"/>
    <w:rsid w:val="003F67A3"/>
    <w:rsid w:val="003F6EBD"/>
    <w:rsid w:val="003F74C1"/>
    <w:rsid w:val="00400A3E"/>
    <w:rsid w:val="00400FA1"/>
    <w:rsid w:val="00401552"/>
    <w:rsid w:val="00403F90"/>
    <w:rsid w:val="00404FE5"/>
    <w:rsid w:val="00407AB6"/>
    <w:rsid w:val="00410BC3"/>
    <w:rsid w:val="004112FC"/>
    <w:rsid w:val="0041169F"/>
    <w:rsid w:val="00412A78"/>
    <w:rsid w:val="00412E1E"/>
    <w:rsid w:val="004136D8"/>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684C"/>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2777"/>
    <w:rsid w:val="00565912"/>
    <w:rsid w:val="005660EB"/>
    <w:rsid w:val="005701CD"/>
    <w:rsid w:val="00570955"/>
    <w:rsid w:val="00571314"/>
    <w:rsid w:val="005743BB"/>
    <w:rsid w:val="00574F0F"/>
    <w:rsid w:val="00574FAE"/>
    <w:rsid w:val="00575505"/>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93"/>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EB4"/>
    <w:rsid w:val="005E7415"/>
    <w:rsid w:val="005F09CB"/>
    <w:rsid w:val="005F1556"/>
    <w:rsid w:val="005F2F71"/>
    <w:rsid w:val="005F4D36"/>
    <w:rsid w:val="005F4EF8"/>
    <w:rsid w:val="005F7C87"/>
    <w:rsid w:val="00600FF3"/>
    <w:rsid w:val="00601425"/>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AED"/>
    <w:rsid w:val="006A6FCD"/>
    <w:rsid w:val="006A7EFB"/>
    <w:rsid w:val="006B1407"/>
    <w:rsid w:val="006B24B7"/>
    <w:rsid w:val="006B2760"/>
    <w:rsid w:val="006B2D14"/>
    <w:rsid w:val="006B2F96"/>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4F43"/>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54DA"/>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22B8"/>
    <w:rsid w:val="007945CA"/>
    <w:rsid w:val="007945E2"/>
    <w:rsid w:val="00794AD0"/>
    <w:rsid w:val="0079604F"/>
    <w:rsid w:val="0079626F"/>
    <w:rsid w:val="0079654D"/>
    <w:rsid w:val="007A1B43"/>
    <w:rsid w:val="007A33C7"/>
    <w:rsid w:val="007A44EC"/>
    <w:rsid w:val="007A485C"/>
    <w:rsid w:val="007A6BE4"/>
    <w:rsid w:val="007B21D4"/>
    <w:rsid w:val="007B3C66"/>
    <w:rsid w:val="007B48C7"/>
    <w:rsid w:val="007B5432"/>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516B"/>
    <w:rsid w:val="009277BC"/>
    <w:rsid w:val="0093733B"/>
    <w:rsid w:val="00940CD3"/>
    <w:rsid w:val="00940FD1"/>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714F"/>
    <w:rsid w:val="00970AF4"/>
    <w:rsid w:val="00970C17"/>
    <w:rsid w:val="009713F9"/>
    <w:rsid w:val="00972891"/>
    <w:rsid w:val="00973F6E"/>
    <w:rsid w:val="0097537F"/>
    <w:rsid w:val="00975689"/>
    <w:rsid w:val="00975B6A"/>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5F78"/>
    <w:rsid w:val="009D7B5A"/>
    <w:rsid w:val="009D7BB8"/>
    <w:rsid w:val="009E0470"/>
    <w:rsid w:val="009E0CF4"/>
    <w:rsid w:val="009E2A81"/>
    <w:rsid w:val="009E3960"/>
    <w:rsid w:val="009E40F1"/>
    <w:rsid w:val="009E54CB"/>
    <w:rsid w:val="009E6644"/>
    <w:rsid w:val="009E69B8"/>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6A3E"/>
    <w:rsid w:val="00A67207"/>
    <w:rsid w:val="00A7127D"/>
    <w:rsid w:val="00A73074"/>
    <w:rsid w:val="00A7400D"/>
    <w:rsid w:val="00A74A5F"/>
    <w:rsid w:val="00A7542B"/>
    <w:rsid w:val="00A76E72"/>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0ED"/>
    <w:rsid w:val="00B06442"/>
    <w:rsid w:val="00B10267"/>
    <w:rsid w:val="00B107D0"/>
    <w:rsid w:val="00B109BA"/>
    <w:rsid w:val="00B10A2B"/>
    <w:rsid w:val="00B13991"/>
    <w:rsid w:val="00B172A6"/>
    <w:rsid w:val="00B21B9B"/>
    <w:rsid w:val="00B21C52"/>
    <w:rsid w:val="00B22262"/>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50DCD"/>
    <w:rsid w:val="00B51181"/>
    <w:rsid w:val="00B514C0"/>
    <w:rsid w:val="00B51BAA"/>
    <w:rsid w:val="00B52E6F"/>
    <w:rsid w:val="00B55090"/>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A92"/>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410EC"/>
    <w:rsid w:val="00C42E1F"/>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A75"/>
    <w:rsid w:val="00D82E07"/>
    <w:rsid w:val="00D833EF"/>
    <w:rsid w:val="00D834BF"/>
    <w:rsid w:val="00D83A32"/>
    <w:rsid w:val="00D85052"/>
    <w:rsid w:val="00D8506B"/>
    <w:rsid w:val="00D86E40"/>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175C6"/>
    <w:rsid w:val="00E20031"/>
    <w:rsid w:val="00E21A77"/>
    <w:rsid w:val="00E22186"/>
    <w:rsid w:val="00E22368"/>
    <w:rsid w:val="00E231AB"/>
    <w:rsid w:val="00E232EF"/>
    <w:rsid w:val="00E23BD0"/>
    <w:rsid w:val="00E268FC"/>
    <w:rsid w:val="00E26A2D"/>
    <w:rsid w:val="00E27333"/>
    <w:rsid w:val="00E32087"/>
    <w:rsid w:val="00E335DD"/>
    <w:rsid w:val="00E33941"/>
    <w:rsid w:val="00E34287"/>
    <w:rsid w:val="00E345AF"/>
    <w:rsid w:val="00E35F42"/>
    <w:rsid w:val="00E363BD"/>
    <w:rsid w:val="00E363F3"/>
    <w:rsid w:val="00E3713B"/>
    <w:rsid w:val="00E37B7D"/>
    <w:rsid w:val="00E4015B"/>
    <w:rsid w:val="00E40494"/>
    <w:rsid w:val="00E41309"/>
    <w:rsid w:val="00E421FD"/>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E46DF"/>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FC251AC"/>
  <w15:docId w15:val="{21AA0CA0-8D87-4033-8EA2-0C8AFE6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06759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nur.org/fileadmin/Documentos/BDL/2012/87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F8DD-1443-4442-B8B4-47AE2099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15</Pages>
  <Words>6051</Words>
  <Characters>33282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1131</cp:revision>
  <cp:lastPrinted>2019-02-26T16:52:00Z</cp:lastPrinted>
  <dcterms:created xsi:type="dcterms:W3CDTF">2016-06-06T18:19:00Z</dcterms:created>
  <dcterms:modified xsi:type="dcterms:W3CDTF">2019-06-19T20:33:00Z</dcterms:modified>
</cp:coreProperties>
</file>