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3E" w:rsidRDefault="00FE673E" w:rsidP="00FE673E">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FE673E" w:rsidRDefault="00FE673E" w:rsidP="00FE673E">
      <w:pPr>
        <w:spacing w:line="360" w:lineRule="auto"/>
        <w:jc w:val="both"/>
        <w:rPr>
          <w:rFonts w:ascii="Arial" w:hAnsi="Arial" w:cs="Arial"/>
          <w:b/>
          <w:sz w:val="24"/>
          <w:szCs w:val="24"/>
        </w:rPr>
      </w:pPr>
      <w:r>
        <w:rPr>
          <w:rFonts w:ascii="Arial" w:hAnsi="Arial" w:cs="Arial"/>
          <w:b/>
          <w:sz w:val="24"/>
          <w:szCs w:val="24"/>
        </w:rPr>
        <w:t xml:space="preserve">OAXACA DE JUÁREZ, OAXACA; A </w:t>
      </w:r>
      <w:r w:rsidR="008E656B">
        <w:rPr>
          <w:rFonts w:ascii="Arial" w:hAnsi="Arial" w:cs="Arial"/>
          <w:b/>
          <w:sz w:val="24"/>
          <w:szCs w:val="24"/>
        </w:rPr>
        <w:t>DIECIOCHO</w:t>
      </w:r>
      <w:r>
        <w:rPr>
          <w:rFonts w:ascii="Arial" w:hAnsi="Arial" w:cs="Arial"/>
          <w:b/>
          <w:sz w:val="24"/>
          <w:szCs w:val="24"/>
        </w:rPr>
        <w:t xml:space="preserve"> DE OCTUBRE DEL AÑO DOS MIL DIECINUEVE (</w:t>
      </w:r>
      <w:r w:rsidR="008E656B">
        <w:rPr>
          <w:rFonts w:ascii="Arial" w:hAnsi="Arial" w:cs="Arial"/>
          <w:b/>
          <w:sz w:val="24"/>
          <w:szCs w:val="24"/>
        </w:rPr>
        <w:t>18</w:t>
      </w:r>
      <w:r>
        <w:rPr>
          <w:rFonts w:ascii="Arial" w:hAnsi="Arial" w:cs="Arial"/>
          <w:b/>
          <w:sz w:val="24"/>
          <w:szCs w:val="24"/>
        </w:rPr>
        <w:t>/10/2019). - - - - - - - - - - - - - - - - - - - - - - -</w:t>
      </w:r>
      <w:r w:rsidR="008E656B">
        <w:rPr>
          <w:rFonts w:ascii="Arial" w:hAnsi="Arial" w:cs="Arial"/>
          <w:b/>
          <w:sz w:val="24"/>
          <w:szCs w:val="24"/>
        </w:rPr>
        <w:t xml:space="preserve"> - - - - - </w:t>
      </w:r>
    </w:p>
    <w:p w:rsidR="00FE673E" w:rsidRDefault="00FE673E" w:rsidP="00FE673E">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0101/2018, promovido por </w:t>
      </w:r>
      <w:r w:rsidR="00CE6B15">
        <w:rPr>
          <w:rFonts w:ascii="Arial" w:hAnsi="Arial" w:cs="Arial"/>
          <w:sz w:val="24"/>
          <w:szCs w:val="24"/>
        </w:rPr>
        <w:t>***** ***** *****</w:t>
      </w:r>
      <w:r>
        <w:rPr>
          <w:rFonts w:ascii="Arial" w:hAnsi="Arial" w:cs="Arial"/>
          <w:sz w:val="24"/>
          <w:szCs w:val="24"/>
        </w:rPr>
        <w:t xml:space="preserve">, Representante Legal de la empresa </w:t>
      </w:r>
      <w:r w:rsidR="00CE6B15">
        <w:rPr>
          <w:rFonts w:ascii="Arial" w:hAnsi="Arial" w:cs="Arial"/>
          <w:sz w:val="24"/>
          <w:szCs w:val="24"/>
        </w:rPr>
        <w:t>CONSTRUCCIONES ***** ***** S.A. DE C.V.</w:t>
      </w:r>
      <w:r>
        <w:rPr>
          <w:rFonts w:ascii="Arial" w:hAnsi="Arial" w:cs="Arial"/>
          <w:sz w:val="24"/>
          <w:szCs w:val="24"/>
        </w:rPr>
        <w:t xml:space="preserve">, solicitando la nulidad de la resolución con número de control </w:t>
      </w:r>
      <w:r w:rsidR="00CE6B15">
        <w:rPr>
          <w:rFonts w:ascii="Arial" w:hAnsi="Arial" w:cs="Arial"/>
          <w:sz w:val="24"/>
          <w:szCs w:val="24"/>
        </w:rPr>
        <w:t>***********</w:t>
      </w:r>
      <w:r>
        <w:rPr>
          <w:rFonts w:ascii="Arial" w:hAnsi="Arial" w:cs="Arial"/>
          <w:sz w:val="24"/>
          <w:szCs w:val="24"/>
        </w:rPr>
        <w:t xml:space="preserve">, expedida con fecha veintisiete de julio de dos mil dieciocho (27/07/2018), mediante la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w:t>
      </w:r>
      <w:r w:rsidR="001A420D">
        <w:rPr>
          <w:rFonts w:ascii="Arial" w:hAnsi="Arial" w:cs="Arial"/>
          <w:sz w:val="24"/>
          <w:szCs w:val="24"/>
        </w:rPr>
        <w:t>- - - - - -</w:t>
      </w:r>
      <w:r w:rsidR="00CE6B15">
        <w:rPr>
          <w:rFonts w:ascii="Arial" w:hAnsi="Arial" w:cs="Arial"/>
          <w:sz w:val="24"/>
          <w:szCs w:val="24"/>
        </w:rPr>
        <w:t xml:space="preserve"> - - - - - - - - - - - - - - - - - - - - - - - - - - - - - - - </w:t>
      </w:r>
    </w:p>
    <w:p w:rsidR="00FE673E" w:rsidRDefault="00FE673E" w:rsidP="00FE673E">
      <w:pPr>
        <w:spacing w:line="360" w:lineRule="auto"/>
        <w:jc w:val="center"/>
        <w:rPr>
          <w:rFonts w:ascii="Arial" w:hAnsi="Arial" w:cs="Arial"/>
          <w:b/>
          <w:sz w:val="24"/>
          <w:szCs w:val="24"/>
        </w:rPr>
      </w:pPr>
      <w:r>
        <w:rPr>
          <w:rFonts w:ascii="Arial" w:hAnsi="Arial" w:cs="Arial"/>
          <w:b/>
          <w:sz w:val="24"/>
          <w:szCs w:val="24"/>
        </w:rPr>
        <w:t>R E S U L T A N D O</w:t>
      </w:r>
    </w:p>
    <w:p w:rsidR="00FE673E" w:rsidRDefault="00FE673E" w:rsidP="00FE673E">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diecisiete de octubre de dos mil dieciocho (17/10/2018), se recibió el escrito de demanda en la Oficialía de Partes de este Tribunal y con fecha veintidós del mismo mes y año (22/10/2018), se tuvo por admitida a trámite, ordenándose emplazar a Juicio a la autoridad demandada; y con fecha veintidós de febrero de dos mil diecinueve (22/02/2019) se tuvo al actor ampliando la demanda. - - - - - - - - - - - - - - - - </w:t>
      </w:r>
      <w:r w:rsidR="00D341B7">
        <w:rPr>
          <w:rFonts w:ascii="Arial" w:hAnsi="Arial" w:cs="Arial"/>
          <w:sz w:val="24"/>
          <w:szCs w:val="24"/>
        </w:rPr>
        <w:t>- -</w:t>
      </w:r>
    </w:p>
    <w:p w:rsidR="00FE673E" w:rsidRDefault="00FE673E" w:rsidP="00FE673E">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fechas quince de enero y veinticuatro de abril de dos mil diecinueve (15/01-24/04/2019), se tuvo a la demandada Directora de Ingresos y Recaudación de la Secretaría de Finanzas del Poder Ejecutivo del Estado, contestando en tiempo la demanda y la ampliación de ésta, por conducto de la Directora de lo Contencioso de esa Secretaría, por lo que en la última fecha se señaló fecha para el desahogo de la audiencia de ley.- - - - </w:t>
      </w:r>
    </w:p>
    <w:p w:rsidR="00CE6B15"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tres de septiembre de dos mil diecinueve (03/09/2019),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 únicamente de la parte actora, quedando el asunto integrado y en estado de resolución; y, - - -</w:t>
      </w:r>
    </w:p>
    <w:p w:rsidR="00CE6B15" w:rsidRDefault="00CE6B15" w:rsidP="00FE673E">
      <w:pPr>
        <w:tabs>
          <w:tab w:val="center" w:pos="4574"/>
        </w:tabs>
        <w:spacing w:line="360" w:lineRule="auto"/>
        <w:ind w:firstLine="708"/>
        <w:jc w:val="both"/>
        <w:rPr>
          <w:rFonts w:ascii="Arial" w:hAnsi="Arial" w:cs="Arial"/>
          <w:sz w:val="24"/>
          <w:szCs w:val="24"/>
        </w:rPr>
      </w:pP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p>
    <w:p w:rsidR="00FE673E" w:rsidRDefault="00FE673E" w:rsidP="00FE673E">
      <w:pPr>
        <w:tabs>
          <w:tab w:val="center" w:pos="4574"/>
        </w:tabs>
        <w:spacing w:line="360" w:lineRule="auto"/>
        <w:ind w:firstLine="708"/>
        <w:jc w:val="center"/>
        <w:rPr>
          <w:rFonts w:ascii="Arial" w:hAnsi="Arial" w:cs="Arial"/>
          <w:b/>
          <w:sz w:val="24"/>
          <w:szCs w:val="24"/>
        </w:rPr>
      </w:pPr>
      <w:r>
        <w:rPr>
          <w:rFonts w:ascii="Arial" w:hAnsi="Arial" w:cs="Arial"/>
          <w:b/>
          <w:sz w:val="24"/>
          <w:szCs w:val="24"/>
        </w:rPr>
        <w:lastRenderedPageBreak/>
        <w:t>C O N S I D E R A N D O</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FE673E" w:rsidRPr="00FC4FB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CE6B15">
        <w:rPr>
          <w:rFonts w:ascii="Arial" w:hAnsi="Arial" w:cs="Arial"/>
          <w:sz w:val="24"/>
          <w:szCs w:val="24"/>
        </w:rPr>
        <w:t>***** ***** *****</w:t>
      </w:r>
      <w:r w:rsidRPr="007526EE">
        <w:rPr>
          <w:rFonts w:ascii="Arial" w:hAnsi="Arial" w:cs="Arial"/>
          <w:sz w:val="24"/>
          <w:szCs w:val="24"/>
        </w:rPr>
        <w:t>, Representante Legal de la Emp</w:t>
      </w:r>
      <w:r>
        <w:rPr>
          <w:rFonts w:ascii="Arial" w:hAnsi="Arial" w:cs="Arial"/>
          <w:sz w:val="24"/>
          <w:szCs w:val="24"/>
        </w:rPr>
        <w:t xml:space="preserve">resa </w:t>
      </w:r>
      <w:r w:rsidR="00CE6B15">
        <w:rPr>
          <w:rFonts w:ascii="Arial" w:hAnsi="Arial" w:cs="Arial"/>
          <w:sz w:val="24"/>
          <w:szCs w:val="24"/>
        </w:rPr>
        <w:t>CONSTRUCCIONES ***** ***** S.A. DE C.V.</w:t>
      </w:r>
      <w:r>
        <w:rPr>
          <w:rFonts w:ascii="Arial" w:hAnsi="Arial" w:cs="Arial"/>
          <w:sz w:val="24"/>
          <w:szCs w:val="24"/>
        </w:rPr>
        <w:t xml:space="preserve">, son: </w:t>
      </w:r>
      <w:r w:rsidRPr="007526EE">
        <w:rPr>
          <w:rFonts w:ascii="Arial" w:hAnsi="Arial" w:cs="Arial"/>
          <w:b/>
          <w:sz w:val="24"/>
          <w:szCs w:val="24"/>
        </w:rPr>
        <w:t>1.-</w:t>
      </w:r>
      <w:r>
        <w:rPr>
          <w:rFonts w:ascii="Arial" w:hAnsi="Arial" w:cs="Arial"/>
          <w:sz w:val="24"/>
          <w:szCs w:val="24"/>
        </w:rPr>
        <w:t xml:space="preserve"> Copia simple de oficio con número de control </w:t>
      </w:r>
      <w:r w:rsidR="00CE6B15">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veintisiete de julio de dos mil dieciocho (27/07/2018),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certificada de Instrumento Notarial </w:t>
      </w:r>
      <w:r w:rsidRPr="00A05C0E">
        <w:rPr>
          <w:rFonts w:ascii="Arial" w:hAnsi="Arial" w:cs="Arial"/>
          <w:sz w:val="24"/>
          <w:szCs w:val="24"/>
        </w:rPr>
        <w:t xml:space="preserve">número </w:t>
      </w:r>
      <w:r w:rsidR="00CE6B15">
        <w:rPr>
          <w:rFonts w:ascii="Arial" w:hAnsi="Arial" w:cs="Arial"/>
          <w:sz w:val="24"/>
          <w:szCs w:val="24"/>
        </w:rPr>
        <w:t>*****</w:t>
      </w:r>
      <w:r w:rsidRPr="00A05C0E">
        <w:rPr>
          <w:rFonts w:ascii="Arial" w:hAnsi="Arial" w:cs="Arial"/>
          <w:sz w:val="24"/>
          <w:szCs w:val="24"/>
        </w:rPr>
        <w:t>, pasado ante la fe del Notario Público Sesenta y Cinco en el Estado, en que</w:t>
      </w:r>
      <w:r>
        <w:rPr>
          <w:rFonts w:ascii="Arial" w:hAnsi="Arial" w:cs="Arial"/>
          <w:sz w:val="24"/>
          <w:szCs w:val="24"/>
        </w:rPr>
        <w:t xml:space="preserve"> se advierte su nombramiento como Administrador Único de la empresa en cita; además hizo suyas las documentales ofrecidas y admitidas a la autoridad demandada.</w:t>
      </w:r>
    </w:p>
    <w:p w:rsidR="00FE673E" w:rsidRPr="005C6939" w:rsidRDefault="00FE673E" w:rsidP="00FE673E">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w:t>
      </w:r>
      <w:r>
        <w:rPr>
          <w:rFonts w:ascii="Arial" w:hAnsi="Arial" w:cs="Arial"/>
          <w:sz w:val="24"/>
          <w:szCs w:val="24"/>
        </w:rPr>
        <w:lastRenderedPageBreak/>
        <w:t xml:space="preserve">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CE6B15">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veintisiete de julio de dos mil dieciocho (27/07/2018), y constancia de notificación del mismo.</w:t>
      </w:r>
    </w:p>
    <w:p w:rsidR="00FE673E" w:rsidRDefault="00FE673E" w:rsidP="00FE673E">
      <w:pPr>
        <w:spacing w:line="360" w:lineRule="auto"/>
        <w:ind w:firstLine="708"/>
        <w:jc w:val="both"/>
        <w:rPr>
          <w:rFonts w:ascii="Arial" w:hAnsi="Arial" w:cs="Arial"/>
          <w:sz w:val="24"/>
          <w:szCs w:val="24"/>
        </w:rPr>
      </w:pPr>
      <w:r>
        <w:rPr>
          <w:rFonts w:ascii="Arial" w:hAnsi="Arial" w:cs="Arial"/>
          <w:sz w:val="24"/>
          <w:szCs w:val="24"/>
        </w:rPr>
        <w:t xml:space="preserve">A las copias certificadas remitidas por las partes, se les otorga </w:t>
      </w:r>
      <w:r w:rsidRPr="00ED2ADA">
        <w:rPr>
          <w:rFonts w:ascii="Arial" w:hAnsi="Arial" w:cs="Arial"/>
          <w:b/>
          <w:sz w:val="24"/>
          <w:szCs w:val="24"/>
        </w:rPr>
        <w:t>p</w:t>
      </w:r>
      <w:r w:rsidRPr="004B3A40">
        <w:rPr>
          <w:rFonts w:ascii="Arial" w:hAnsi="Arial" w:cs="Arial"/>
          <w:b/>
          <w:sz w:val="24"/>
          <w:szCs w:val="24"/>
        </w:rPr>
        <w:t>leno valor probatorio</w:t>
      </w:r>
      <w:r w:rsidRPr="00683973">
        <w:rPr>
          <w:rFonts w:ascii="Arial" w:hAnsi="Arial" w:cs="Arial"/>
          <w:sz w:val="24"/>
          <w:szCs w:val="24"/>
        </w:rPr>
        <w:t>,</w:t>
      </w:r>
      <w:r>
        <w:rPr>
          <w:rFonts w:ascii="Arial" w:hAnsi="Arial" w:cs="Arial"/>
          <w:sz w:val="24"/>
          <w:szCs w:val="24"/>
        </w:rPr>
        <w:t xml:space="preserve"> porque fueron realizadas por personas con plenas facultades para ello, como son los Notarios Públicos números Sesenta y Cinco, y Diecinueve en el Estado, </w:t>
      </w:r>
      <w:r w:rsidRPr="003D18EC">
        <w:rPr>
          <w:rFonts w:ascii="Arial" w:hAnsi="Arial" w:cs="Arial"/>
          <w:sz w:val="24"/>
          <w:szCs w:val="24"/>
        </w:rPr>
        <w:t>quien</w:t>
      </w:r>
      <w:r>
        <w:rPr>
          <w:rFonts w:ascii="Arial" w:hAnsi="Arial" w:cs="Arial"/>
          <w:sz w:val="24"/>
          <w:szCs w:val="24"/>
        </w:rPr>
        <w:t>es para certificar dijeron</w:t>
      </w:r>
      <w:r w:rsidRPr="003D18EC">
        <w:rPr>
          <w:rFonts w:ascii="Arial" w:hAnsi="Arial" w:cs="Arial"/>
          <w:sz w:val="24"/>
          <w:szCs w:val="24"/>
        </w:rPr>
        <w:t xml:space="preserve"> haber cotejado con su</w:t>
      </w:r>
      <w:r>
        <w:rPr>
          <w:rFonts w:ascii="Arial" w:hAnsi="Arial" w:cs="Arial"/>
          <w:sz w:val="24"/>
          <w:szCs w:val="24"/>
        </w:rPr>
        <w:t>s</w:t>
      </w:r>
      <w:r w:rsidRPr="003D18EC">
        <w:rPr>
          <w:rFonts w:ascii="Arial" w:hAnsi="Arial" w:cs="Arial"/>
          <w:sz w:val="24"/>
          <w:szCs w:val="24"/>
        </w:rPr>
        <w:t xml:space="preserve"> original</w:t>
      </w:r>
      <w:r>
        <w:rPr>
          <w:rFonts w:ascii="Arial" w:hAnsi="Arial" w:cs="Arial"/>
          <w:sz w:val="24"/>
          <w:szCs w:val="24"/>
        </w:rPr>
        <w:t>es</w:t>
      </w:r>
      <w:r w:rsidRPr="003D18EC">
        <w:rPr>
          <w:rFonts w:ascii="Arial" w:hAnsi="Arial" w:cs="Arial"/>
          <w:sz w:val="24"/>
          <w:szCs w:val="24"/>
        </w:rPr>
        <w:t>,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quien actuó de conformidad con el artículo 16 fracción VIII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 la </w:t>
      </w:r>
      <w:r w:rsidRPr="00AC5D94">
        <w:rPr>
          <w:rFonts w:ascii="Arial" w:hAnsi="Arial" w:cs="Arial"/>
          <w:b/>
          <w:sz w:val="24"/>
          <w:szCs w:val="24"/>
        </w:rPr>
        <w:t xml:space="preserve">copia simple </w:t>
      </w:r>
      <w:r>
        <w:rPr>
          <w:rFonts w:ascii="Arial" w:hAnsi="Arial" w:cs="Arial"/>
          <w:sz w:val="24"/>
          <w:szCs w:val="24"/>
        </w:rPr>
        <w:t>remitida por la parte actora, se le otorga también valor probatorio pleno, pues se trata del acto impugnado, el cual fue remitido en copia certificada por la demanda y al cual se le otorgó valor probatorio pleno en líneas que anteceden, por lo que quedó de manifiesto su existencia y veracidad de su contenido.</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w:t>
      </w:r>
      <w:r w:rsidRPr="00500883">
        <w:rPr>
          <w:rFonts w:ascii="Arial" w:hAnsi="Arial" w:cs="Arial"/>
          <w:sz w:val="24"/>
          <w:szCs w:val="24"/>
        </w:rPr>
        <w:t>veracidad de su contenido, de conformidad a lo que establece el citado artículo 203 fracción I de la Ley de Procedimiento y Justicia Administrativa para el Estado de Oaxaca.</w:t>
      </w:r>
    </w:p>
    <w:p w:rsidR="00FE673E" w:rsidRDefault="00FE673E" w:rsidP="00FE673E">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FE673E" w:rsidRDefault="00FE673E" w:rsidP="00FE673E">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266D60">
        <w:rPr>
          <w:rFonts w:ascii="Arial" w:hAnsi="Arial" w:cs="Arial"/>
          <w:sz w:val="24"/>
          <w:szCs w:val="24"/>
        </w:rPr>
        <w:t xml:space="preserve">- - </w:t>
      </w:r>
    </w:p>
    <w:p w:rsidR="00FE673E" w:rsidRDefault="00FE673E" w:rsidP="00FE673E">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A377F9">
        <w:rPr>
          <w:rFonts w:ascii="Arial" w:hAnsi="Arial" w:cs="Arial"/>
          <w:sz w:val="24"/>
        </w:rPr>
        <w:t>- - - - - - - - - - - - - - - -</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CE6B15">
        <w:rPr>
          <w:rFonts w:ascii="Arial" w:hAnsi="Arial" w:cs="Arial"/>
          <w:sz w:val="24"/>
          <w:szCs w:val="24"/>
        </w:rPr>
        <w:t>***** ***** *****</w:t>
      </w:r>
      <w:r>
        <w:rPr>
          <w:rFonts w:ascii="Arial" w:hAnsi="Arial" w:cs="Arial"/>
          <w:sz w:val="24"/>
          <w:szCs w:val="24"/>
        </w:rPr>
        <w:t xml:space="preserve">, como Representante Legal de la empresa </w:t>
      </w:r>
      <w:r w:rsidR="00CE6B15">
        <w:rPr>
          <w:rFonts w:ascii="Arial" w:hAnsi="Arial" w:cs="Arial"/>
          <w:sz w:val="24"/>
          <w:szCs w:val="24"/>
        </w:rPr>
        <w:t>CONSTRUCCIONES ***** ***** S.A. DE C.V.</w:t>
      </w:r>
      <w:r>
        <w:rPr>
          <w:rFonts w:ascii="Arial" w:hAnsi="Arial" w:cs="Arial"/>
          <w:sz w:val="24"/>
          <w:szCs w:val="24"/>
        </w:rPr>
        <w:t>, quedó legalmente acreditada en términos de los artículos 148 segundo párrafo, 163 fracción I, inciso a) y 164, todos de la Ley de Procedimiento y Justicia Administrativa para el Estado, pues en el Instrumento Notarial que remitió, al cual se les otorgó valor probatorio pleno en líneas que anteceden, se advierte su nombramiento como Administrador Único de la empresa en cita, con poder general para pleitos y cobranzas,  de ahí que haya quedado justificado su interés jurídico y legítimo en el presente asunto.</w:t>
      </w:r>
    </w:p>
    <w:p w:rsidR="00FE673E" w:rsidRPr="00CD56C1" w:rsidRDefault="00FE673E" w:rsidP="00FE673E">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 xml:space="preserve">en este Juicio por la Directora de lo Contencioso de aquella </w:t>
      </w:r>
      <w:r w:rsidRPr="009C234E">
        <w:rPr>
          <w:rFonts w:ascii="Arial" w:hAnsi="Arial" w:cs="Arial"/>
          <w:sz w:val="24"/>
        </w:rPr>
        <w:lastRenderedPageBreak/>
        <w:t>Secretaría</w:t>
      </w:r>
      <w:r>
        <w:rPr>
          <w:rFonts w:ascii="Arial" w:hAnsi="Arial" w:cs="Arial"/>
          <w:sz w:val="24"/>
        </w:rPr>
        <w:t>, también acreditó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w:t>
      </w:r>
    </w:p>
    <w:p w:rsidR="00FE673E" w:rsidRPr="00E053AE" w:rsidRDefault="00FE673E" w:rsidP="00FE673E">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FE673E" w:rsidRPr="00E053AE" w:rsidRDefault="00FE673E" w:rsidP="00FE673E">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E90C31">
        <w:rPr>
          <w:rFonts w:ascii="Arial" w:hAnsi="Arial" w:cs="Arial"/>
          <w:sz w:val="24"/>
        </w:rPr>
        <w:t xml:space="preserve">- </w:t>
      </w:r>
    </w:p>
    <w:p w:rsidR="00FE673E" w:rsidRDefault="00FE673E" w:rsidP="00FE673E">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CB0191">
        <w:rPr>
          <w:rFonts w:ascii="Arial" w:hAnsi="Arial" w:cs="Arial"/>
          <w:b/>
          <w:sz w:val="24"/>
          <w:szCs w:val="24"/>
        </w:rPr>
        <w:tab/>
      </w:r>
      <w:r w:rsidRPr="006D7488">
        <w:rPr>
          <w:rFonts w:ascii="Arial" w:hAnsi="Arial" w:cs="Arial"/>
          <w:b/>
          <w:sz w:val="24"/>
          <w:szCs w:val="24"/>
        </w:rPr>
        <w:t>SEXTO.-</w:t>
      </w:r>
      <w:r w:rsidR="00CB0191">
        <w:rPr>
          <w:rFonts w:ascii="Arial" w:hAnsi="Arial" w:cs="Arial"/>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FE673E" w:rsidRDefault="00FE673E" w:rsidP="00FE673E">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La parte actora en ampliación de demanda expresó agravios contra la notificación efectuada del acto impugnado vía servicio postal, y toda vez que la fecha plasmada en el acuse de recibo de fecha diecisiete de agosto de dos mil dieciocho (17/08/2018), difiere de la señalada por el actor como el día en que fue notificado, ocho de octubre de dos mil dieciocho (08/10/2018), resulta prudente analizar en primer lugar la notificación del acto impugnado, pues de resultar válida la efectuada por la autoridad demandada, el actor habría presentado su demanda fuera del plazo previsto en la Ley de la Materia; y en ese sentido, se considera válida, como fecha de notificación del acto impugnado, la señalada por el actor.</w:t>
      </w:r>
    </w:p>
    <w:p w:rsidR="00FE673E" w:rsidRDefault="00FE673E" w:rsidP="00FE673E">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Lo anterior es así, pues se toma en cuenta que el Código Fiscal para el Estado de Oaxaca, en su Capítulo Segundo, precisa el Procedimiento para llevar a cabo las notificaciones, concretamente en el artículo 134 fracción II, dispone que tratándose de requerimientos, </w:t>
      </w:r>
      <w:r w:rsidRPr="005039B3">
        <w:rPr>
          <w:rFonts w:ascii="Arial" w:hAnsi="Arial" w:cs="Arial"/>
          <w:b/>
          <w:sz w:val="24"/>
          <w:szCs w:val="24"/>
        </w:rPr>
        <w:t xml:space="preserve">las notificaciones se efectuarán </w:t>
      </w:r>
      <w:r w:rsidRPr="005039B3">
        <w:rPr>
          <w:rFonts w:ascii="Arial" w:hAnsi="Arial" w:cs="Arial"/>
          <w:b/>
          <w:sz w:val="24"/>
          <w:szCs w:val="24"/>
        </w:rPr>
        <w:lastRenderedPageBreak/>
        <w:t>de manera personal</w:t>
      </w:r>
      <w:r>
        <w:rPr>
          <w:rFonts w:ascii="Arial" w:hAnsi="Arial" w:cs="Arial"/>
          <w:sz w:val="24"/>
          <w:szCs w:val="24"/>
        </w:rPr>
        <w:t xml:space="preserve">, luego al relacionar el citado dispositivo, con el artículo 138 del mismo ordenamiento legal, que establece que estas notificaciones (las personales), deberán efectuarse </w:t>
      </w:r>
      <w:r w:rsidRPr="005039B3">
        <w:rPr>
          <w:rFonts w:ascii="Arial" w:hAnsi="Arial" w:cs="Arial"/>
          <w:sz w:val="24"/>
          <w:szCs w:val="24"/>
        </w:rPr>
        <w:t>en el domicilio del contribuyente</w:t>
      </w:r>
      <w:r>
        <w:rPr>
          <w:rFonts w:ascii="Arial" w:hAnsi="Arial" w:cs="Arial"/>
          <w:sz w:val="24"/>
          <w:szCs w:val="24"/>
        </w:rPr>
        <w:t>, debiendo dejarse constancia escrita de este hecho, y que la notificación que se realice con el afectado o su representante legal, es  legalmente válida; luego entonces, interpretado a contrario sensu, las notificaciones personales que se realicen de manera distinta a la referida, no son legalmente válidas.</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el artículo 140 del referido Código, establece el procedimiento a seguir cuando no se encuentre a la persona que debe ser notificada en su domicilio, y el numeral 141 la obligación de entregar el original del acto administrativo que se notifique, precisamente a la persona con la que se entienda la notificación, así como el levantamiento del acta o constancia circunstanciada, además, las notificaciones deben considerarse efectuadas el día en que el documento a notificar sea entregado al contribuyente, por lo tanto, el procedimiento de notificación, debió realizarse acorde a lo dispuesto en el Código en comento.</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No pasa desapercibido para esta Juzgadora, el hecho de que el referido Código Fiscal prevé en su artículo 132 último párrafo, que las notificaciones por correo certificado se consideraran notificaciones personales, pues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destinatario o su representante legal </w:t>
      </w:r>
      <w:r>
        <w:rPr>
          <w:rFonts w:ascii="Arial" w:hAnsi="Arial" w:cs="Arial"/>
          <w:sz w:val="24"/>
          <w:szCs w:val="24"/>
        </w:rPr>
        <w:t xml:space="preserve">en su domicilio, que la firma de recepción sea plasmada por el destinatario en un documento especial, la cual será entregada al remitente como constancia del acto; solo de esa forma puede garantizarse que esa pieza postal fue recibida por el destinatario, circunstancia que permite autentificar la legalidad de ese acto procesal (seguridad jurídica); lo que en el caso concreto no ocurrió, pues en autos no consta que la notificación le haya sido entregada de forma personal al actor o a su representante legal, pues quien firmó los acuses de recibo, fue una persona distinta del actor, por lo que al no haberse efectuado de forma personal como lo prescribe la normatividad, sin duda escapa de las consideraciones referidas por el más alto Tribunal del País, consecuentemente, la notificación del requerimiento de </w:t>
      </w:r>
      <w:r>
        <w:rPr>
          <w:rFonts w:ascii="Arial" w:hAnsi="Arial" w:cs="Arial"/>
          <w:sz w:val="24"/>
          <w:szCs w:val="24"/>
        </w:rPr>
        <w:lastRenderedPageBreak/>
        <w:t xml:space="preserve">pago impugnado </w:t>
      </w:r>
      <w:r w:rsidRPr="00C80D6C">
        <w:rPr>
          <w:rFonts w:ascii="Arial" w:hAnsi="Arial" w:cs="Arial"/>
          <w:sz w:val="24"/>
          <w:szCs w:val="24"/>
          <w:u w:val="single"/>
        </w:rPr>
        <w:t>resulta ilegal</w:t>
      </w:r>
      <w:r>
        <w:rPr>
          <w:rFonts w:ascii="Arial" w:hAnsi="Arial" w:cs="Arial"/>
          <w:sz w:val="24"/>
          <w:szCs w:val="24"/>
        </w:rPr>
        <w:t>. Sirve de apoyo a lo anterior la Jurisprudencia con datos de identificación: Semanario Judicial de la Federación y su Gaceta, Tomo XXII, Septiembre de 2005, Novena Época, Pág. 1316, registro 177244</w:t>
      </w:r>
      <w:r w:rsidRPr="00895EDA">
        <w:rPr>
          <w:rFonts w:ascii="Arial" w:hAnsi="Arial" w:cs="Arial"/>
          <w:sz w:val="24"/>
          <w:szCs w:val="24"/>
        </w:rPr>
        <w:t>, Jurisprudencia Administrativa, Tribunales Colegiados de Circuito, y de rubro: “</w:t>
      </w:r>
      <w:r w:rsidRPr="00895EDA">
        <w:rPr>
          <w:rFonts w:ascii="Arial" w:hAnsi="Arial" w:cs="Arial"/>
          <w:i/>
          <w:sz w:val="24"/>
          <w:szCs w:val="24"/>
        </w:rPr>
        <w:t>NOTIFICACIONES POR CORREO CERTIFICADO CON ACUSE DE RECIBO EN EL JUICIO FISCAL. REQUISITOS QUE DEBEN COLMAR PARA</w:t>
      </w:r>
      <w:r w:rsidRPr="00EE33AF">
        <w:rPr>
          <w:rFonts w:ascii="Arial" w:hAnsi="Arial" w:cs="Arial"/>
          <w:i/>
          <w:sz w:val="24"/>
          <w:szCs w:val="24"/>
        </w:rPr>
        <w:t xml:space="preserve"> QUE GOCEN DE EFICACIA</w:t>
      </w:r>
      <w:r w:rsidRPr="00B85908">
        <w:rPr>
          <w:rFonts w:ascii="Arial" w:hAnsi="Arial" w:cs="Arial"/>
          <w:i/>
          <w:sz w:val="24"/>
          <w:szCs w:val="24"/>
        </w:rPr>
        <w:t xml:space="preserve"> </w:t>
      </w:r>
      <w:r w:rsidRPr="008A1001">
        <w:rPr>
          <w:rFonts w:ascii="Arial" w:hAnsi="Arial" w:cs="Arial"/>
          <w:i/>
          <w:sz w:val="24"/>
          <w:szCs w:val="24"/>
        </w:rPr>
        <w:t xml:space="preserve">LEGAL.”; </w:t>
      </w:r>
      <w:r>
        <w:rPr>
          <w:rFonts w:ascii="Arial" w:hAnsi="Arial" w:cs="Arial"/>
          <w:sz w:val="24"/>
          <w:szCs w:val="24"/>
        </w:rPr>
        <w:t xml:space="preserve">por esas consideraciones es que es </w:t>
      </w:r>
      <w:r w:rsidRPr="008A1001">
        <w:rPr>
          <w:rFonts w:ascii="Arial" w:hAnsi="Arial" w:cs="Arial"/>
          <w:sz w:val="24"/>
          <w:szCs w:val="24"/>
        </w:rPr>
        <w:t xml:space="preserve">subiste la fecha en que el actor refirió </w:t>
      </w:r>
      <w:r>
        <w:rPr>
          <w:rFonts w:ascii="Arial" w:hAnsi="Arial" w:cs="Arial"/>
          <w:sz w:val="24"/>
          <w:szCs w:val="24"/>
        </w:rPr>
        <w:t xml:space="preserve">que </w:t>
      </w:r>
      <w:r w:rsidRPr="008A1001">
        <w:rPr>
          <w:rFonts w:ascii="Arial" w:hAnsi="Arial" w:cs="Arial"/>
          <w:sz w:val="24"/>
          <w:szCs w:val="24"/>
        </w:rPr>
        <w:t>conoció el acto impugnado</w:t>
      </w:r>
      <w:r>
        <w:rPr>
          <w:rFonts w:ascii="Arial" w:hAnsi="Arial" w:cs="Arial"/>
          <w:sz w:val="24"/>
          <w:szCs w:val="24"/>
        </w:rPr>
        <w:t>,</w:t>
      </w:r>
      <w:r w:rsidRPr="008A1001">
        <w:rPr>
          <w:rFonts w:ascii="Arial" w:hAnsi="Arial" w:cs="Arial"/>
          <w:sz w:val="24"/>
          <w:szCs w:val="24"/>
        </w:rPr>
        <w:t xml:space="preserve"> ocho de octubre de dos mil dieciocho (08/10/2018).</w:t>
      </w:r>
    </w:p>
    <w:p w:rsidR="00FE673E" w:rsidRDefault="00FE673E" w:rsidP="00FE673E">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w:t>
      </w:r>
      <w:r w:rsidRPr="00895EDA">
        <w:rPr>
          <w:rFonts w:ascii="Arial" w:hAnsi="Arial" w:cs="Arial"/>
          <w:b/>
          <w:sz w:val="24"/>
          <w:szCs w:val="24"/>
        </w:rPr>
        <w:t>respecto de la multa por infracción</w:t>
      </w:r>
      <w:r>
        <w:rPr>
          <w:rFonts w:ascii="Arial" w:hAnsi="Arial" w:cs="Arial"/>
          <w:sz w:val="24"/>
          <w:szCs w:val="24"/>
        </w:rPr>
        <w:t xml:space="preserve"> con número de folio </w:t>
      </w:r>
      <w:r w:rsidR="00CE6B15">
        <w:rPr>
          <w:rFonts w:ascii="Arial" w:hAnsi="Arial" w:cs="Arial"/>
          <w:sz w:val="24"/>
          <w:szCs w:val="24"/>
        </w:rPr>
        <w:t>***********</w:t>
      </w:r>
      <w:r>
        <w:rPr>
          <w:rFonts w:ascii="Arial" w:hAnsi="Arial" w:cs="Arial"/>
          <w:sz w:val="24"/>
          <w:szCs w:val="24"/>
        </w:rPr>
        <w:t xml:space="preserve">, la autoridad demandada identificó dos actos que atribuye a la Empresa </w:t>
      </w:r>
      <w:r w:rsidR="00CE6B15">
        <w:rPr>
          <w:rFonts w:ascii="Arial" w:hAnsi="Arial" w:cs="Arial"/>
          <w:sz w:val="24"/>
          <w:szCs w:val="24"/>
        </w:rPr>
        <w:t>CONSTRUCCIONES ***** ***** S.A. DE C.V.</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moral,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 xml:space="preserve">remuneraciones al trabajo personal, ya sea subordinado o no, los sueldos y salarios, los cuales </w:t>
      </w:r>
      <w:r w:rsidRPr="008B0978">
        <w:rPr>
          <w:rFonts w:ascii="Arial" w:hAnsi="Arial" w:cs="Arial"/>
          <w:i/>
          <w:sz w:val="24"/>
          <w:szCs w:val="24"/>
        </w:rPr>
        <w:lastRenderedPageBreak/>
        <w:t>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4D38F3">
        <w:rPr>
          <w:rFonts w:ascii="Arial" w:hAnsi="Arial" w:cs="Arial"/>
          <w:b/>
          <w:sz w:val="24"/>
          <w:szCs w:val="24"/>
        </w:rPr>
        <w:t>no basta</w:t>
      </w:r>
      <w:r w:rsidRPr="004D38F3">
        <w:rPr>
          <w:rFonts w:ascii="Arial" w:hAnsi="Arial" w:cs="Arial"/>
          <w:b/>
          <w:i/>
          <w:sz w:val="24"/>
          <w:szCs w:val="24"/>
        </w:rPr>
        <w:t xml:space="preserve"> </w:t>
      </w:r>
      <w:r w:rsidRPr="004D38F3">
        <w:rPr>
          <w:rFonts w:ascii="Arial" w:hAnsi="Arial" w:cs="Arial"/>
          <w:b/>
          <w:sz w:val="24"/>
          <w:szCs w:val="24"/>
        </w:rPr>
        <w:t>que la autoridad demandada cite 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FE673E" w:rsidRPr="0005010A" w:rsidRDefault="00FE673E" w:rsidP="00FE673E">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w:t>
      </w:r>
      <w:r>
        <w:rPr>
          <w:rFonts w:ascii="Arial" w:hAnsi="Arial" w:cs="Arial"/>
          <w:sz w:val="24"/>
          <w:szCs w:val="24"/>
        </w:rPr>
        <w:lastRenderedPageBreak/>
        <w:t xml:space="preserve">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FE673E" w:rsidRPr="003D18EC" w:rsidRDefault="00FE673E" w:rsidP="00FE673E">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el actuar de la demandada se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FE673E" w:rsidRDefault="00FE673E" w:rsidP="00FE673E">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CE6B15">
        <w:rPr>
          <w:rFonts w:ascii="Arial" w:hAnsi="Arial" w:cs="Arial"/>
          <w:sz w:val="24"/>
          <w:szCs w:val="24"/>
        </w:rPr>
        <w:t>***********</w:t>
      </w:r>
      <w:r>
        <w:rPr>
          <w:rFonts w:ascii="Arial" w:hAnsi="Arial" w:cs="Arial"/>
          <w:sz w:val="24"/>
          <w:szCs w:val="24"/>
        </w:rPr>
        <w:t xml:space="preserve">, expedida con fecha veintisiete de julio de dos mil dieciocho </w:t>
      </w:r>
      <w:r>
        <w:rPr>
          <w:rFonts w:ascii="Arial" w:hAnsi="Arial" w:cs="Arial"/>
          <w:sz w:val="24"/>
          <w:szCs w:val="24"/>
        </w:rPr>
        <w:lastRenderedPageBreak/>
        <w:t>(27/07/2018), por la Directora de Ingresos y Recaudación de la Secretaría de Finanzas del Poder Ejecutivo del Estado, así como de la notificación de la misma efectuada a través del servicio postal mexicano,  incluso la multa impuesta a la parte actora,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CB0191">
        <w:rPr>
          <w:rFonts w:ascii="Arial" w:hAnsi="Arial" w:cs="Arial"/>
          <w:sz w:val="24"/>
          <w:szCs w:val="24"/>
        </w:rPr>
        <w:t xml:space="preserve">- </w:t>
      </w:r>
    </w:p>
    <w:p w:rsidR="00FE673E" w:rsidRDefault="00FE673E" w:rsidP="00FE673E">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367CD8">
        <w:rPr>
          <w:rFonts w:ascii="Arial" w:hAnsi="Arial" w:cs="Arial"/>
          <w:sz w:val="24"/>
          <w:szCs w:val="24"/>
        </w:rPr>
        <w:t xml:space="preserve">- </w:t>
      </w:r>
    </w:p>
    <w:p w:rsidR="00FE673E" w:rsidRDefault="00FE673E" w:rsidP="00FE673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BA251A">
        <w:rPr>
          <w:rFonts w:ascii="Arial" w:hAnsi="Arial" w:cs="Arial"/>
          <w:sz w:val="24"/>
          <w:szCs w:val="24"/>
        </w:rPr>
        <w:t>- - - - - - - - -</w:t>
      </w:r>
    </w:p>
    <w:p w:rsidR="00FE673E" w:rsidRDefault="00FE673E" w:rsidP="00FE673E">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lastRenderedPageBreak/>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CE6B15">
        <w:rPr>
          <w:rFonts w:ascii="Arial" w:hAnsi="Arial" w:cs="Arial"/>
          <w:sz w:val="24"/>
          <w:szCs w:val="24"/>
        </w:rPr>
        <w:t>***********</w:t>
      </w:r>
      <w:r>
        <w:rPr>
          <w:rFonts w:ascii="Arial" w:hAnsi="Arial" w:cs="Arial"/>
          <w:sz w:val="24"/>
          <w:szCs w:val="24"/>
        </w:rPr>
        <w:t xml:space="preserve">, expedida con fecha veintisiete de julio de dos mil dieciocho (27/07/2018), por la Directora de Ingresos y Recaudación de la Secretaría de Finanzas del Poder Ejecutivo del Estado, así como de la notificación de la misma, efectuada a través del servicio postal mexicano,  y la multa impuesta a la parte actora, consistente en $4,030.00 (CUATRO MIL TREINTA PESOS 00/100 M.N.); lo anterior en términos precisados en el considerando SEXTO de esta resolución. - - - - - - - - - - - - - - - - - - - - - - - </w:t>
      </w:r>
      <w:r w:rsidR="006675F6">
        <w:rPr>
          <w:rFonts w:ascii="Arial" w:hAnsi="Arial" w:cs="Arial"/>
          <w:sz w:val="24"/>
          <w:szCs w:val="24"/>
        </w:rPr>
        <w:t xml:space="preserve">- - - </w:t>
      </w:r>
      <w:r w:rsidR="00CE6B15">
        <w:rPr>
          <w:rFonts w:ascii="Arial" w:hAnsi="Arial" w:cs="Arial"/>
          <w:sz w:val="24"/>
          <w:szCs w:val="24"/>
        </w:rPr>
        <w:t xml:space="preserve">- - - - - - - - - - - - - - - - </w:t>
      </w:r>
      <w:bookmarkStart w:id="0" w:name="_GoBack"/>
      <w:bookmarkEnd w:id="0"/>
    </w:p>
    <w:p w:rsidR="00FE673E" w:rsidRDefault="00FE673E" w:rsidP="00FE673E">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FE673E" w:rsidRPr="00746184" w:rsidRDefault="00FE673E" w:rsidP="00FE673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054DF6">
        <w:rPr>
          <w:rFonts w:ascii="Arial" w:hAnsi="Arial" w:cs="Arial"/>
          <w:sz w:val="24"/>
          <w:szCs w:val="24"/>
        </w:rPr>
        <w:t xml:space="preserve">- - - - - - - - - - - </w:t>
      </w:r>
    </w:p>
    <w:p w:rsidR="0048608F" w:rsidRPr="005B1B32" w:rsidRDefault="0048608F" w:rsidP="005B1B32"/>
    <w:sectPr w:rsidR="0048608F" w:rsidRPr="005B1B32" w:rsidSect="00CE6B15">
      <w:headerReference w:type="even" r:id="rId7"/>
      <w:headerReference w:type="default" r:id="rId8"/>
      <w:footerReference w:type="default" r:id="rId9"/>
      <w:headerReference w:type="first" r:id="rId10"/>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7E" w:rsidRDefault="00C7097E" w:rsidP="007A5B5E">
      <w:pPr>
        <w:spacing w:after="0" w:line="240" w:lineRule="auto"/>
      </w:pPr>
      <w:r>
        <w:separator/>
      </w:r>
    </w:p>
  </w:endnote>
  <w:endnote w:type="continuationSeparator" w:id="0">
    <w:p w:rsidR="00C7097E" w:rsidRDefault="00C7097E"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3BB744D9" wp14:editId="00D9082F">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B5CCC" w:rsidRPr="00CB5CCC">
                                <w:rPr>
                                  <w:noProof/>
                                  <w:color w:val="000000" w:themeColor="text1"/>
                                  <w:lang w:val="es-ES"/>
                                </w:rPr>
                                <w:t>11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44D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B5CCC" w:rsidRPr="00CB5CCC">
                          <w:rPr>
                            <w:noProof/>
                            <w:color w:val="000000" w:themeColor="text1"/>
                            <w:lang w:val="es-ES"/>
                          </w:rPr>
                          <w:t>11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7E" w:rsidRDefault="00C7097E" w:rsidP="007A5B5E">
      <w:pPr>
        <w:spacing w:after="0" w:line="240" w:lineRule="auto"/>
      </w:pPr>
      <w:r>
        <w:separator/>
      </w:r>
    </w:p>
  </w:footnote>
  <w:footnote w:type="continuationSeparator" w:id="0">
    <w:p w:rsidR="00C7097E" w:rsidRDefault="00C7097E"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CE6B15">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1E20AC16" wp14:editId="66768CA0">
              <wp:simplePos x="0" y="0"/>
              <wp:positionH relativeFrom="column">
                <wp:posOffset>5172075</wp:posOffset>
              </wp:positionH>
              <wp:positionV relativeFrom="paragraph">
                <wp:posOffset>4217670</wp:posOffset>
              </wp:positionV>
              <wp:extent cx="1137285" cy="12763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CE6B15" w:rsidRPr="003B6E97" w:rsidRDefault="00CE6B15" w:rsidP="00CE6B1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0AC16" id="_x0000_t202" coordsize="21600,21600" o:spt="202" path="m,l,21600r21600,l21600,xe">
              <v:stroke joinstyle="miter"/>
              <v:path gradientshapeok="t" o:connecttype="rect"/>
            </v:shapetype>
            <v:shape id="Cuadro de texto 3" o:spid="_x0000_s1026" type="#_x0000_t202" style="position:absolute;margin-left:407.25pt;margin-top:332.1pt;width:89.55pt;height:10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">
              <v:textbox>
                <w:txbxContent>
                  <w:p w:rsidR="00CE6B15" w:rsidRPr="003B6E97" w:rsidRDefault="00CE6B15" w:rsidP="00CE6B1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5079" o:spid="_x0000_s2052" type="#_x0000_t75" style="position:absolute;margin-left:0;margin-top:0;width:413.5pt;height:360.7pt;z-index:-251649024;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10786073" wp14:editId="7518DCF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86073"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5B1B32">
      <w:rPr>
        <w:rFonts w:ascii="Bookman Old Style" w:hAnsi="Bookman Old Style"/>
        <w:b/>
      </w:rPr>
      <w:t>101</w:t>
    </w:r>
    <w:r w:rsidRPr="00B87741">
      <w:rPr>
        <w:rFonts w:ascii="Bookman Old Style" w:hAnsi="Bookman Old Style"/>
        <w:b/>
        <w:sz w:val="24"/>
        <w:szCs w:val="24"/>
      </w:rPr>
      <w:t>/</w:t>
    </w:r>
    <w:r w:rsidRPr="002F2D7B">
      <w:rPr>
        <w:rFonts w:ascii="Bookman Old Style" w:hAnsi="Bookman Old Style"/>
        <w:b/>
        <w:sz w:val="24"/>
        <w:szCs w:val="24"/>
      </w:rPr>
      <w:t>201</w:t>
    </w:r>
    <w:r w:rsidR="005B1B32">
      <w:rPr>
        <w:rFonts w:ascii="Bookman Old Style" w:hAnsi="Bookman Old Style"/>
        <w:b/>
        <w:sz w:val="24"/>
        <w:szCs w:val="24"/>
      </w:rPr>
      <w:t>8</w:t>
    </w:r>
  </w:p>
  <w:p w:rsidR="00A4373C" w:rsidRPr="00071C38" w:rsidRDefault="00CE6B15"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1E20AC16" wp14:editId="66768CA0">
              <wp:simplePos x="0" y="0"/>
              <wp:positionH relativeFrom="column">
                <wp:posOffset>-1251585</wp:posOffset>
              </wp:positionH>
              <wp:positionV relativeFrom="paragraph">
                <wp:posOffset>3800475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CE6B15" w:rsidRPr="003B6E97" w:rsidRDefault="00CE6B15" w:rsidP="00CE6B1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0AC16" id="Cuadro de texto 12" o:spid="_x0000_s1028" type="#_x0000_t202" style="position:absolute;left:0;text-align:left;margin-left:-98.55pt;margin-top:299.25pt;width:89.5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">
              <v:textbox>
                <w:txbxContent>
                  <w:p w:rsidR="00CE6B15" w:rsidRPr="003B6E97" w:rsidRDefault="00CE6B15" w:rsidP="00CE6B1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55E1CA9E" wp14:editId="5226F5F9">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CE6B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5078" o:spid="_x0000_s2051"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22D97"/>
    <w:rsid w:val="000268AE"/>
    <w:rsid w:val="00033A92"/>
    <w:rsid w:val="00037568"/>
    <w:rsid w:val="00054DF6"/>
    <w:rsid w:val="00062DC6"/>
    <w:rsid w:val="00067DE1"/>
    <w:rsid w:val="00080379"/>
    <w:rsid w:val="00085C5D"/>
    <w:rsid w:val="00086629"/>
    <w:rsid w:val="000A1953"/>
    <w:rsid w:val="000A7EF7"/>
    <w:rsid w:val="000B41EC"/>
    <w:rsid w:val="000C2D07"/>
    <w:rsid w:val="000D332F"/>
    <w:rsid w:val="000D7002"/>
    <w:rsid w:val="000F2A5A"/>
    <w:rsid w:val="0010130E"/>
    <w:rsid w:val="00102428"/>
    <w:rsid w:val="00103E7F"/>
    <w:rsid w:val="001062D2"/>
    <w:rsid w:val="00117886"/>
    <w:rsid w:val="00121484"/>
    <w:rsid w:val="001323F3"/>
    <w:rsid w:val="0019193E"/>
    <w:rsid w:val="001A273D"/>
    <w:rsid w:val="001A3488"/>
    <w:rsid w:val="001A420D"/>
    <w:rsid w:val="001B0015"/>
    <w:rsid w:val="001B31AA"/>
    <w:rsid w:val="001B3EDE"/>
    <w:rsid w:val="002019F1"/>
    <w:rsid w:val="002273C1"/>
    <w:rsid w:val="00227673"/>
    <w:rsid w:val="00227B0E"/>
    <w:rsid w:val="00231BB4"/>
    <w:rsid w:val="00237BFA"/>
    <w:rsid w:val="00242030"/>
    <w:rsid w:val="002476D8"/>
    <w:rsid w:val="00256213"/>
    <w:rsid w:val="00264419"/>
    <w:rsid w:val="00266D60"/>
    <w:rsid w:val="00274840"/>
    <w:rsid w:val="0028642F"/>
    <w:rsid w:val="002B1091"/>
    <w:rsid w:val="002D1C5C"/>
    <w:rsid w:val="002D50CB"/>
    <w:rsid w:val="002E0A6B"/>
    <w:rsid w:val="002E45CD"/>
    <w:rsid w:val="002F0DE0"/>
    <w:rsid w:val="00314069"/>
    <w:rsid w:val="0032191E"/>
    <w:rsid w:val="00324531"/>
    <w:rsid w:val="0034172C"/>
    <w:rsid w:val="00362B10"/>
    <w:rsid w:val="0036559B"/>
    <w:rsid w:val="00367CD8"/>
    <w:rsid w:val="00372164"/>
    <w:rsid w:val="00372348"/>
    <w:rsid w:val="003739C0"/>
    <w:rsid w:val="00375885"/>
    <w:rsid w:val="00375B6F"/>
    <w:rsid w:val="0037735A"/>
    <w:rsid w:val="00387429"/>
    <w:rsid w:val="00387F33"/>
    <w:rsid w:val="00393A57"/>
    <w:rsid w:val="003A766C"/>
    <w:rsid w:val="003B1785"/>
    <w:rsid w:val="003C5391"/>
    <w:rsid w:val="003E104E"/>
    <w:rsid w:val="003E6BD1"/>
    <w:rsid w:val="003F5F1A"/>
    <w:rsid w:val="003F7AB5"/>
    <w:rsid w:val="00402CA6"/>
    <w:rsid w:val="00407214"/>
    <w:rsid w:val="00412725"/>
    <w:rsid w:val="00420019"/>
    <w:rsid w:val="004319A5"/>
    <w:rsid w:val="00433354"/>
    <w:rsid w:val="00433716"/>
    <w:rsid w:val="00440D9A"/>
    <w:rsid w:val="00440DC5"/>
    <w:rsid w:val="004667D8"/>
    <w:rsid w:val="00473912"/>
    <w:rsid w:val="00475A77"/>
    <w:rsid w:val="00476F7D"/>
    <w:rsid w:val="0048608F"/>
    <w:rsid w:val="004B074C"/>
    <w:rsid w:val="004B524C"/>
    <w:rsid w:val="004D7A34"/>
    <w:rsid w:val="004F162F"/>
    <w:rsid w:val="00502478"/>
    <w:rsid w:val="00502589"/>
    <w:rsid w:val="00504FCD"/>
    <w:rsid w:val="00524EF5"/>
    <w:rsid w:val="00533998"/>
    <w:rsid w:val="005401D7"/>
    <w:rsid w:val="00542573"/>
    <w:rsid w:val="00544394"/>
    <w:rsid w:val="00553A79"/>
    <w:rsid w:val="00555EC8"/>
    <w:rsid w:val="00566511"/>
    <w:rsid w:val="00571121"/>
    <w:rsid w:val="0058166F"/>
    <w:rsid w:val="0059235B"/>
    <w:rsid w:val="00594EC0"/>
    <w:rsid w:val="005A7853"/>
    <w:rsid w:val="005B1B32"/>
    <w:rsid w:val="005B211C"/>
    <w:rsid w:val="005B6473"/>
    <w:rsid w:val="005C4441"/>
    <w:rsid w:val="005E1297"/>
    <w:rsid w:val="00604785"/>
    <w:rsid w:val="006050EC"/>
    <w:rsid w:val="00605FD1"/>
    <w:rsid w:val="006179D5"/>
    <w:rsid w:val="00627280"/>
    <w:rsid w:val="00631E6F"/>
    <w:rsid w:val="00633B84"/>
    <w:rsid w:val="00640240"/>
    <w:rsid w:val="006406B1"/>
    <w:rsid w:val="00644003"/>
    <w:rsid w:val="006635AF"/>
    <w:rsid w:val="00665C49"/>
    <w:rsid w:val="006663FA"/>
    <w:rsid w:val="006675F6"/>
    <w:rsid w:val="00671276"/>
    <w:rsid w:val="006720CF"/>
    <w:rsid w:val="00674CC7"/>
    <w:rsid w:val="00680A5D"/>
    <w:rsid w:val="006A11E3"/>
    <w:rsid w:val="006A28D2"/>
    <w:rsid w:val="006A673B"/>
    <w:rsid w:val="006B5994"/>
    <w:rsid w:val="006B5E0A"/>
    <w:rsid w:val="006D0360"/>
    <w:rsid w:val="006D192F"/>
    <w:rsid w:val="006E0198"/>
    <w:rsid w:val="006F0A48"/>
    <w:rsid w:val="006F51F4"/>
    <w:rsid w:val="0071474B"/>
    <w:rsid w:val="00714E8F"/>
    <w:rsid w:val="0071537A"/>
    <w:rsid w:val="007312A2"/>
    <w:rsid w:val="00770A31"/>
    <w:rsid w:val="00772907"/>
    <w:rsid w:val="007846E5"/>
    <w:rsid w:val="0079545D"/>
    <w:rsid w:val="007A22EE"/>
    <w:rsid w:val="007A44BA"/>
    <w:rsid w:val="007A5119"/>
    <w:rsid w:val="007A5B5E"/>
    <w:rsid w:val="007A7A48"/>
    <w:rsid w:val="007B4FFD"/>
    <w:rsid w:val="007D55ED"/>
    <w:rsid w:val="007E2943"/>
    <w:rsid w:val="007E51B4"/>
    <w:rsid w:val="007F0760"/>
    <w:rsid w:val="007F2831"/>
    <w:rsid w:val="007F60E9"/>
    <w:rsid w:val="008144D8"/>
    <w:rsid w:val="00836BB6"/>
    <w:rsid w:val="00836D84"/>
    <w:rsid w:val="00846D5B"/>
    <w:rsid w:val="00850F70"/>
    <w:rsid w:val="00854294"/>
    <w:rsid w:val="008846DD"/>
    <w:rsid w:val="00896F1B"/>
    <w:rsid w:val="008973C3"/>
    <w:rsid w:val="008A0DB8"/>
    <w:rsid w:val="008A4EBD"/>
    <w:rsid w:val="008E656B"/>
    <w:rsid w:val="008F378D"/>
    <w:rsid w:val="008F4EA9"/>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F2123"/>
    <w:rsid w:val="00A057F6"/>
    <w:rsid w:val="00A13F37"/>
    <w:rsid w:val="00A17ABB"/>
    <w:rsid w:val="00A206A3"/>
    <w:rsid w:val="00A3160F"/>
    <w:rsid w:val="00A371D5"/>
    <w:rsid w:val="00A377F9"/>
    <w:rsid w:val="00A51258"/>
    <w:rsid w:val="00A57E36"/>
    <w:rsid w:val="00A811AE"/>
    <w:rsid w:val="00A879E4"/>
    <w:rsid w:val="00AA62AE"/>
    <w:rsid w:val="00AA7145"/>
    <w:rsid w:val="00AC05A6"/>
    <w:rsid w:val="00AF5B34"/>
    <w:rsid w:val="00B044C2"/>
    <w:rsid w:val="00B22B25"/>
    <w:rsid w:val="00B37BED"/>
    <w:rsid w:val="00B438E5"/>
    <w:rsid w:val="00B4639E"/>
    <w:rsid w:val="00B46E86"/>
    <w:rsid w:val="00B53C8F"/>
    <w:rsid w:val="00B7407D"/>
    <w:rsid w:val="00B86059"/>
    <w:rsid w:val="00B94C99"/>
    <w:rsid w:val="00BA251A"/>
    <w:rsid w:val="00BB4F0B"/>
    <w:rsid w:val="00BC5D03"/>
    <w:rsid w:val="00BD0DA4"/>
    <w:rsid w:val="00BE1DD4"/>
    <w:rsid w:val="00BE26D9"/>
    <w:rsid w:val="00BF2E0E"/>
    <w:rsid w:val="00C15DB6"/>
    <w:rsid w:val="00C20B6F"/>
    <w:rsid w:val="00C3005E"/>
    <w:rsid w:val="00C33CED"/>
    <w:rsid w:val="00C349DF"/>
    <w:rsid w:val="00C37DF5"/>
    <w:rsid w:val="00C41270"/>
    <w:rsid w:val="00C50828"/>
    <w:rsid w:val="00C56B89"/>
    <w:rsid w:val="00C67280"/>
    <w:rsid w:val="00C7097E"/>
    <w:rsid w:val="00C81E73"/>
    <w:rsid w:val="00CB0191"/>
    <w:rsid w:val="00CB1103"/>
    <w:rsid w:val="00CB466F"/>
    <w:rsid w:val="00CB5CCC"/>
    <w:rsid w:val="00CD140A"/>
    <w:rsid w:val="00CD43CA"/>
    <w:rsid w:val="00CE6B15"/>
    <w:rsid w:val="00D266C0"/>
    <w:rsid w:val="00D300B5"/>
    <w:rsid w:val="00D341B7"/>
    <w:rsid w:val="00D35CB2"/>
    <w:rsid w:val="00D36878"/>
    <w:rsid w:val="00D44940"/>
    <w:rsid w:val="00D4537E"/>
    <w:rsid w:val="00D67F35"/>
    <w:rsid w:val="00D8282E"/>
    <w:rsid w:val="00D841BC"/>
    <w:rsid w:val="00DB142A"/>
    <w:rsid w:val="00DC24B5"/>
    <w:rsid w:val="00DE3267"/>
    <w:rsid w:val="00DF431D"/>
    <w:rsid w:val="00DF596A"/>
    <w:rsid w:val="00E05E49"/>
    <w:rsid w:val="00E27318"/>
    <w:rsid w:val="00E278E3"/>
    <w:rsid w:val="00E3025F"/>
    <w:rsid w:val="00E355F4"/>
    <w:rsid w:val="00E5150B"/>
    <w:rsid w:val="00E619E9"/>
    <w:rsid w:val="00E70AF2"/>
    <w:rsid w:val="00E764E3"/>
    <w:rsid w:val="00E76510"/>
    <w:rsid w:val="00E90C31"/>
    <w:rsid w:val="00E91751"/>
    <w:rsid w:val="00EA2229"/>
    <w:rsid w:val="00ED0959"/>
    <w:rsid w:val="00EE3204"/>
    <w:rsid w:val="00EE66A3"/>
    <w:rsid w:val="00EE69CB"/>
    <w:rsid w:val="00EF77C0"/>
    <w:rsid w:val="00F00D08"/>
    <w:rsid w:val="00F1260F"/>
    <w:rsid w:val="00F13121"/>
    <w:rsid w:val="00F14EC5"/>
    <w:rsid w:val="00F2100B"/>
    <w:rsid w:val="00F21161"/>
    <w:rsid w:val="00F228AA"/>
    <w:rsid w:val="00F24B6D"/>
    <w:rsid w:val="00F25B5E"/>
    <w:rsid w:val="00F35133"/>
    <w:rsid w:val="00F57AB8"/>
    <w:rsid w:val="00F668A7"/>
    <w:rsid w:val="00F767DC"/>
    <w:rsid w:val="00F85C13"/>
    <w:rsid w:val="00F85E9E"/>
    <w:rsid w:val="00F9203A"/>
    <w:rsid w:val="00F965D8"/>
    <w:rsid w:val="00F969CE"/>
    <w:rsid w:val="00FA2DE8"/>
    <w:rsid w:val="00FC4F6A"/>
    <w:rsid w:val="00FE2437"/>
    <w:rsid w:val="00FE673E"/>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F4312A8"/>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3950</Words>
  <Characters>21731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265</cp:revision>
  <cp:lastPrinted>2019-10-28T19:07:00Z</cp:lastPrinted>
  <dcterms:created xsi:type="dcterms:W3CDTF">2019-07-08T16:38:00Z</dcterms:created>
  <dcterms:modified xsi:type="dcterms:W3CDTF">2020-01-09T21:29:00Z</dcterms:modified>
</cp:coreProperties>
</file>