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88774" w14:textId="77777777" w:rsidR="00E66DB8" w:rsidRPr="00DD7218" w:rsidRDefault="00E66DB8" w:rsidP="00E46238">
      <w:pPr>
        <w:pStyle w:val="corte4fondo"/>
        <w:spacing w:line="276" w:lineRule="auto"/>
        <w:ind w:left="3969" w:right="51" w:firstLine="0"/>
        <w:rPr>
          <w:rFonts w:cs="Arial"/>
          <w:b/>
          <w:sz w:val="24"/>
          <w:szCs w:val="24"/>
        </w:rPr>
      </w:pPr>
      <w:r w:rsidRPr="00DD7218">
        <w:rPr>
          <w:rFonts w:cs="Arial"/>
          <w:b/>
          <w:sz w:val="24"/>
          <w:szCs w:val="24"/>
        </w:rPr>
        <w:t>SEGUNDA SALA UNITARIA DE PRIMERA INSTANCIA DEL TRIBUNAL DE JUSTICIA ADMINISTRATIVA DEL ESTADO DE OAXACA.</w:t>
      </w:r>
    </w:p>
    <w:p w14:paraId="5EB13838" w14:textId="77777777" w:rsidR="00E66DB8" w:rsidRPr="00DD7218" w:rsidRDefault="00E66DB8" w:rsidP="00E46238">
      <w:pPr>
        <w:pStyle w:val="corte4fondo"/>
        <w:spacing w:line="276" w:lineRule="auto"/>
        <w:ind w:left="3544" w:right="51" w:firstLine="0"/>
        <w:rPr>
          <w:rFonts w:cs="Arial"/>
          <w:b/>
          <w:sz w:val="24"/>
          <w:szCs w:val="24"/>
        </w:rPr>
      </w:pPr>
    </w:p>
    <w:p w14:paraId="4FC69655" w14:textId="77777777" w:rsidR="00E66DB8" w:rsidRPr="00DD7218" w:rsidRDefault="00E66DB8" w:rsidP="00E46238">
      <w:pPr>
        <w:pStyle w:val="corte4fondo"/>
        <w:spacing w:line="276" w:lineRule="auto"/>
        <w:ind w:left="3969" w:right="51" w:firstLine="0"/>
        <w:rPr>
          <w:rFonts w:cs="Arial"/>
          <w:b/>
          <w:sz w:val="24"/>
          <w:szCs w:val="24"/>
        </w:rPr>
      </w:pPr>
      <w:r w:rsidRPr="00DD7218">
        <w:rPr>
          <w:rFonts w:cs="Arial"/>
          <w:b/>
          <w:sz w:val="24"/>
          <w:szCs w:val="24"/>
        </w:rPr>
        <w:t xml:space="preserve">JUICIO DE NULIDAD: </w:t>
      </w:r>
      <w:r w:rsidR="003C4E1D" w:rsidRPr="00DD7218">
        <w:rPr>
          <w:rFonts w:cs="Arial"/>
          <w:b/>
          <w:sz w:val="24"/>
          <w:szCs w:val="24"/>
        </w:rPr>
        <w:t>93</w:t>
      </w:r>
      <w:r w:rsidRPr="00DD7218">
        <w:rPr>
          <w:rFonts w:cs="Arial"/>
          <w:b/>
          <w:sz w:val="24"/>
          <w:szCs w:val="24"/>
        </w:rPr>
        <w:t>/2017.</w:t>
      </w:r>
    </w:p>
    <w:p w14:paraId="10821A7E" w14:textId="77777777" w:rsidR="00E66DB8" w:rsidRPr="00DD7218" w:rsidRDefault="00E66DB8" w:rsidP="00E46238">
      <w:pPr>
        <w:pStyle w:val="corte4fondo"/>
        <w:spacing w:line="276" w:lineRule="auto"/>
        <w:ind w:left="3544" w:right="51" w:firstLine="0"/>
        <w:rPr>
          <w:rFonts w:cs="Arial"/>
          <w:b/>
          <w:sz w:val="24"/>
          <w:szCs w:val="24"/>
        </w:rPr>
      </w:pPr>
    </w:p>
    <w:p w14:paraId="6A3EFE8E" w14:textId="77777777" w:rsidR="00E66DB8" w:rsidRPr="00DD7218" w:rsidRDefault="00E66DB8" w:rsidP="00E46238">
      <w:pPr>
        <w:pStyle w:val="corte4fondo"/>
        <w:spacing w:line="276" w:lineRule="auto"/>
        <w:ind w:left="3969" w:right="51" w:firstLine="0"/>
        <w:rPr>
          <w:rFonts w:cs="Arial"/>
          <w:b/>
          <w:sz w:val="24"/>
          <w:szCs w:val="24"/>
        </w:rPr>
      </w:pPr>
      <w:r w:rsidRPr="00DD7218">
        <w:rPr>
          <w:rFonts w:cs="Arial"/>
          <w:b/>
          <w:sz w:val="24"/>
          <w:szCs w:val="24"/>
        </w:rPr>
        <w:t xml:space="preserve">ACTOR: </w:t>
      </w:r>
      <w:r w:rsidR="001C4603">
        <w:rPr>
          <w:rFonts w:cs="Arial"/>
          <w:b/>
          <w:sz w:val="24"/>
          <w:szCs w:val="24"/>
        </w:rPr>
        <w:t>**********</w:t>
      </w:r>
      <w:r w:rsidR="00BF16A3" w:rsidRPr="00DD7218">
        <w:rPr>
          <w:rFonts w:cs="Arial"/>
          <w:b/>
          <w:sz w:val="24"/>
          <w:szCs w:val="24"/>
        </w:rPr>
        <w:t xml:space="preserve">. </w:t>
      </w:r>
    </w:p>
    <w:p w14:paraId="0DB882ED" w14:textId="77777777" w:rsidR="00E66DB8" w:rsidRPr="00DD7218" w:rsidRDefault="00E66DB8" w:rsidP="00E46238">
      <w:pPr>
        <w:pStyle w:val="corte4fondo"/>
        <w:spacing w:line="276" w:lineRule="auto"/>
        <w:ind w:left="3969" w:right="51" w:firstLine="0"/>
        <w:rPr>
          <w:rFonts w:cs="Arial"/>
          <w:b/>
          <w:sz w:val="24"/>
          <w:szCs w:val="24"/>
        </w:rPr>
      </w:pPr>
    </w:p>
    <w:p w14:paraId="7A8382CE" w14:textId="77777777" w:rsidR="00E66DB8" w:rsidRPr="00DD7218" w:rsidRDefault="00E66DB8" w:rsidP="00E46238">
      <w:pPr>
        <w:pStyle w:val="corte4fondo"/>
        <w:spacing w:line="276" w:lineRule="auto"/>
        <w:ind w:left="3969" w:right="51" w:firstLine="0"/>
        <w:rPr>
          <w:rFonts w:cs="Arial"/>
          <w:b/>
          <w:sz w:val="24"/>
          <w:szCs w:val="24"/>
        </w:rPr>
      </w:pPr>
      <w:r w:rsidRPr="00DD7218">
        <w:rPr>
          <w:rFonts w:cs="Arial"/>
          <w:b/>
          <w:sz w:val="24"/>
          <w:szCs w:val="24"/>
        </w:rPr>
        <w:t>AUTORIDAD DEMANDADA:</w:t>
      </w:r>
      <w:r w:rsidR="003C4E1D" w:rsidRPr="00DD7218">
        <w:rPr>
          <w:rFonts w:cs="Arial"/>
          <w:b/>
          <w:sz w:val="24"/>
          <w:szCs w:val="24"/>
        </w:rPr>
        <w:t xml:space="preserve"> PROCURADURÍA </w:t>
      </w:r>
      <w:r w:rsidR="00327E22" w:rsidRPr="00DD7218">
        <w:rPr>
          <w:rFonts w:cs="Arial"/>
          <w:b/>
          <w:sz w:val="24"/>
          <w:szCs w:val="24"/>
        </w:rPr>
        <w:t>FISCAL DEL GO</w:t>
      </w:r>
      <w:r w:rsidR="003C4E1D" w:rsidRPr="00DD7218">
        <w:rPr>
          <w:rFonts w:cs="Arial"/>
          <w:b/>
          <w:sz w:val="24"/>
          <w:szCs w:val="24"/>
        </w:rPr>
        <w:t>BIERNO DEL ESTADO</w:t>
      </w:r>
      <w:r w:rsidR="00707978">
        <w:rPr>
          <w:rFonts w:cs="Arial"/>
          <w:b/>
          <w:sz w:val="24"/>
          <w:szCs w:val="24"/>
        </w:rPr>
        <w:t xml:space="preserve"> DE OAXACA</w:t>
      </w:r>
      <w:r w:rsidRPr="00DD7218">
        <w:rPr>
          <w:rFonts w:cs="Arial"/>
          <w:b/>
          <w:sz w:val="24"/>
          <w:szCs w:val="24"/>
        </w:rPr>
        <w:t>.</w:t>
      </w:r>
    </w:p>
    <w:p w14:paraId="223E0855" w14:textId="77777777" w:rsidR="00E66DB8" w:rsidRPr="00DD7218" w:rsidRDefault="00E66DB8" w:rsidP="00E46238">
      <w:pPr>
        <w:pStyle w:val="corte4fondo"/>
        <w:spacing w:line="276" w:lineRule="auto"/>
        <w:ind w:left="3969" w:right="51" w:firstLine="0"/>
        <w:rPr>
          <w:rFonts w:cs="Arial"/>
          <w:sz w:val="24"/>
          <w:szCs w:val="24"/>
        </w:rPr>
      </w:pPr>
    </w:p>
    <w:p w14:paraId="40D26325" w14:textId="77777777" w:rsidR="00E66DB8" w:rsidRPr="00DD7218" w:rsidRDefault="00E66DB8" w:rsidP="00E46238">
      <w:pPr>
        <w:ind w:right="51"/>
        <w:rPr>
          <w:rFonts w:ascii="Arial" w:hAnsi="Arial" w:cs="Arial"/>
          <w:color w:val="FF0000"/>
          <w:sz w:val="24"/>
          <w:szCs w:val="24"/>
        </w:rPr>
      </w:pPr>
    </w:p>
    <w:p w14:paraId="62325A1B" w14:textId="77777777" w:rsidR="00E66DB8" w:rsidRPr="00DD7218" w:rsidRDefault="00E66DB8" w:rsidP="00655724">
      <w:pPr>
        <w:pStyle w:val="Textoindependiente21"/>
        <w:spacing w:line="360" w:lineRule="auto"/>
        <w:ind w:firstLine="709"/>
        <w:rPr>
          <w:rFonts w:ascii="Arial" w:hAnsi="Arial" w:cs="Arial"/>
          <w:szCs w:val="24"/>
        </w:rPr>
      </w:pPr>
      <w:r w:rsidRPr="00DD7218">
        <w:rPr>
          <w:rFonts w:ascii="Arial" w:hAnsi="Arial" w:cs="Arial"/>
          <w:b/>
          <w:szCs w:val="24"/>
        </w:rPr>
        <w:t xml:space="preserve">OAXACA DE JUÁREZ, OAXACA, A </w:t>
      </w:r>
      <w:r w:rsidR="003C4E1D" w:rsidRPr="00DD7218">
        <w:rPr>
          <w:rFonts w:ascii="Arial" w:hAnsi="Arial" w:cs="Arial"/>
          <w:b/>
          <w:szCs w:val="24"/>
        </w:rPr>
        <w:t>VEINTIUNO</w:t>
      </w:r>
      <w:r w:rsidRPr="00DD7218">
        <w:rPr>
          <w:rFonts w:ascii="Arial" w:hAnsi="Arial" w:cs="Arial"/>
          <w:b/>
          <w:szCs w:val="24"/>
        </w:rPr>
        <w:t xml:space="preserve"> DE </w:t>
      </w:r>
      <w:r w:rsidR="003C4E1D" w:rsidRPr="00DD7218">
        <w:rPr>
          <w:rFonts w:ascii="Arial" w:hAnsi="Arial" w:cs="Arial"/>
          <w:b/>
          <w:szCs w:val="24"/>
        </w:rPr>
        <w:t>MAYO</w:t>
      </w:r>
      <w:r w:rsidRPr="00DD7218">
        <w:rPr>
          <w:rFonts w:ascii="Arial" w:hAnsi="Arial" w:cs="Arial"/>
          <w:b/>
          <w:szCs w:val="24"/>
        </w:rPr>
        <w:t xml:space="preserve"> DE DOS MIL DIECINUEVE.</w:t>
      </w:r>
      <w:r w:rsidRPr="00DD7218">
        <w:rPr>
          <w:rFonts w:ascii="Arial" w:hAnsi="Arial" w:cs="Arial"/>
          <w:szCs w:val="24"/>
        </w:rPr>
        <w:t xml:space="preserve"> </w:t>
      </w:r>
    </w:p>
    <w:p w14:paraId="40B7AB94" w14:textId="77777777" w:rsidR="00E66DB8" w:rsidRPr="00DD7218" w:rsidRDefault="00E66DB8" w:rsidP="00655724">
      <w:pPr>
        <w:pStyle w:val="corte4fondo"/>
        <w:ind w:right="51"/>
        <w:rPr>
          <w:rFonts w:cs="Arial"/>
          <w:b/>
          <w:sz w:val="24"/>
          <w:szCs w:val="24"/>
          <w:lang w:val="es-ES"/>
        </w:rPr>
      </w:pPr>
    </w:p>
    <w:p w14:paraId="613E2A93" w14:textId="77777777" w:rsidR="00E66DB8" w:rsidRPr="00DD7218" w:rsidRDefault="00E66DB8" w:rsidP="007F443B">
      <w:pPr>
        <w:pStyle w:val="Textoindependiente21"/>
        <w:spacing w:line="360" w:lineRule="auto"/>
        <w:ind w:firstLine="708"/>
        <w:rPr>
          <w:rFonts w:ascii="Arial" w:hAnsi="Arial" w:cs="Arial"/>
          <w:szCs w:val="24"/>
        </w:rPr>
      </w:pPr>
      <w:r w:rsidRPr="00DD7218">
        <w:rPr>
          <w:rFonts w:ascii="Arial" w:hAnsi="Arial" w:cs="Arial"/>
          <w:b/>
          <w:szCs w:val="24"/>
        </w:rPr>
        <w:t xml:space="preserve">V I S T O S, </w:t>
      </w:r>
      <w:r w:rsidRPr="00DD7218">
        <w:rPr>
          <w:rFonts w:ascii="Arial" w:hAnsi="Arial" w:cs="Arial"/>
          <w:szCs w:val="24"/>
        </w:rPr>
        <w:t xml:space="preserve">para resolver los autos del juicio de nulidad </w:t>
      </w:r>
      <w:r w:rsidR="003C4E1D" w:rsidRPr="00DD7218">
        <w:rPr>
          <w:rFonts w:ascii="Arial" w:hAnsi="Arial" w:cs="Arial"/>
          <w:szCs w:val="24"/>
        </w:rPr>
        <w:t>93</w:t>
      </w:r>
      <w:r w:rsidRPr="00DD7218">
        <w:rPr>
          <w:rFonts w:ascii="Arial" w:hAnsi="Arial" w:cs="Arial"/>
          <w:szCs w:val="24"/>
        </w:rPr>
        <w:t xml:space="preserve">/2017, promovido por </w:t>
      </w:r>
      <w:r w:rsidR="001C4603">
        <w:rPr>
          <w:rFonts w:cs="Arial"/>
          <w:b/>
          <w:szCs w:val="24"/>
        </w:rPr>
        <w:t>**********</w:t>
      </w:r>
      <w:r w:rsidRPr="00DD7218">
        <w:rPr>
          <w:rFonts w:ascii="Arial" w:hAnsi="Arial" w:cs="Arial"/>
          <w:b/>
          <w:szCs w:val="24"/>
        </w:rPr>
        <w:t xml:space="preserve">, </w:t>
      </w:r>
      <w:r w:rsidRPr="00DD7218">
        <w:rPr>
          <w:rFonts w:ascii="Arial" w:hAnsi="Arial" w:cs="Arial"/>
          <w:szCs w:val="24"/>
        </w:rPr>
        <w:t xml:space="preserve">en contra de la </w:t>
      </w:r>
      <w:r w:rsidR="003C4E1D" w:rsidRPr="00DD7218">
        <w:rPr>
          <w:rFonts w:ascii="Arial" w:hAnsi="Arial" w:cs="Arial"/>
          <w:b/>
          <w:szCs w:val="24"/>
        </w:rPr>
        <w:t xml:space="preserve">PROCURADURÍA </w:t>
      </w:r>
      <w:r w:rsidR="00327E22" w:rsidRPr="00DD7218">
        <w:rPr>
          <w:rFonts w:ascii="Arial" w:hAnsi="Arial" w:cs="Arial"/>
          <w:b/>
          <w:szCs w:val="24"/>
        </w:rPr>
        <w:t>FISCAL DEL GO</w:t>
      </w:r>
      <w:r w:rsidR="003C4E1D" w:rsidRPr="00DD7218">
        <w:rPr>
          <w:rFonts w:ascii="Arial" w:hAnsi="Arial" w:cs="Arial"/>
          <w:b/>
          <w:szCs w:val="24"/>
        </w:rPr>
        <w:t>BIERNO DEL ESTADO</w:t>
      </w:r>
      <w:r w:rsidR="00707978">
        <w:rPr>
          <w:rFonts w:ascii="Arial" w:hAnsi="Arial" w:cs="Arial"/>
          <w:b/>
          <w:szCs w:val="24"/>
        </w:rPr>
        <w:t xml:space="preserve"> DE OAXACA</w:t>
      </w:r>
      <w:r w:rsidRPr="00DD7218">
        <w:rPr>
          <w:rFonts w:ascii="Arial" w:hAnsi="Arial" w:cs="Arial"/>
          <w:b/>
          <w:szCs w:val="24"/>
        </w:rPr>
        <w:t>,</w:t>
      </w:r>
      <w:r w:rsidRPr="00DD7218">
        <w:rPr>
          <w:rFonts w:ascii="Arial" w:hAnsi="Arial" w:cs="Arial"/>
          <w:szCs w:val="24"/>
        </w:rPr>
        <w:t xml:space="preserve"> y;</w:t>
      </w:r>
    </w:p>
    <w:p w14:paraId="28F43321" w14:textId="77777777" w:rsidR="00E66DB8" w:rsidRPr="00DD7218" w:rsidRDefault="00E66DB8" w:rsidP="00E46238">
      <w:pPr>
        <w:pStyle w:val="corte4fondo"/>
        <w:ind w:right="51" w:firstLine="0"/>
        <w:rPr>
          <w:rFonts w:cs="Arial"/>
          <w:b/>
          <w:sz w:val="24"/>
          <w:szCs w:val="24"/>
        </w:rPr>
      </w:pPr>
    </w:p>
    <w:p w14:paraId="3B5A37C7" w14:textId="77777777" w:rsidR="00E66DB8" w:rsidRPr="00DD7218" w:rsidRDefault="00E66DB8" w:rsidP="00E46238">
      <w:pPr>
        <w:pStyle w:val="Textoindependiente21"/>
        <w:spacing w:line="360" w:lineRule="auto"/>
        <w:ind w:firstLine="0"/>
        <w:rPr>
          <w:rFonts w:ascii="Arial" w:hAnsi="Arial" w:cs="Arial"/>
          <w:b/>
          <w:szCs w:val="24"/>
        </w:rPr>
      </w:pPr>
      <w:r w:rsidRPr="00DD7218">
        <w:rPr>
          <w:rFonts w:ascii="Arial" w:hAnsi="Arial" w:cs="Arial"/>
          <w:b/>
          <w:szCs w:val="24"/>
          <w:lang w:val="es-ES_tradnl"/>
        </w:rPr>
        <w:t xml:space="preserve">                                          </w:t>
      </w:r>
      <w:r w:rsidRPr="00DD7218">
        <w:rPr>
          <w:rFonts w:ascii="Arial" w:hAnsi="Arial" w:cs="Arial"/>
          <w:b/>
          <w:szCs w:val="24"/>
        </w:rPr>
        <w:t xml:space="preserve">     R E S U L T A N D O:</w:t>
      </w:r>
    </w:p>
    <w:p w14:paraId="0F1AAF61" w14:textId="77777777" w:rsidR="00135D85" w:rsidRPr="00DD7218" w:rsidRDefault="00135D85" w:rsidP="00E46238">
      <w:pPr>
        <w:pStyle w:val="Textoindependiente21"/>
        <w:spacing w:line="360" w:lineRule="auto"/>
        <w:ind w:firstLine="0"/>
        <w:rPr>
          <w:rFonts w:ascii="Arial" w:hAnsi="Arial" w:cs="Arial"/>
          <w:szCs w:val="24"/>
        </w:rPr>
      </w:pPr>
    </w:p>
    <w:p w14:paraId="0DC6C6CD" w14:textId="77777777" w:rsidR="007F443B" w:rsidRPr="00DD7218" w:rsidRDefault="007F443B" w:rsidP="007F443B">
      <w:pPr>
        <w:spacing w:line="360" w:lineRule="auto"/>
        <w:ind w:right="51" w:firstLine="708"/>
        <w:jc w:val="both"/>
        <w:rPr>
          <w:rFonts w:ascii="Arial" w:hAnsi="Arial" w:cs="Arial"/>
          <w:b/>
          <w:bCs/>
          <w:sz w:val="24"/>
          <w:szCs w:val="24"/>
        </w:rPr>
      </w:pPr>
    </w:p>
    <w:p w14:paraId="1DC5608B" w14:textId="77777777" w:rsidR="00874C59" w:rsidRPr="00DD7218" w:rsidRDefault="00E66DB8" w:rsidP="00707978">
      <w:pPr>
        <w:pStyle w:val="Textoindependiente21"/>
        <w:spacing w:line="360" w:lineRule="auto"/>
        <w:ind w:firstLine="567"/>
        <w:rPr>
          <w:rFonts w:ascii="Arial" w:hAnsi="Arial" w:cs="Arial"/>
          <w:szCs w:val="24"/>
        </w:rPr>
      </w:pPr>
      <w:r w:rsidRPr="00DD7218">
        <w:rPr>
          <w:rFonts w:ascii="Arial" w:hAnsi="Arial" w:cs="Arial"/>
          <w:b/>
          <w:bCs/>
          <w:szCs w:val="24"/>
        </w:rPr>
        <w:t>PRIMERO.</w:t>
      </w:r>
      <w:r w:rsidRPr="00DD7218">
        <w:rPr>
          <w:rFonts w:ascii="Arial" w:hAnsi="Arial" w:cs="Arial"/>
          <w:b/>
          <w:szCs w:val="24"/>
        </w:rPr>
        <w:t xml:space="preserve"> </w:t>
      </w:r>
      <w:r w:rsidR="00135D85" w:rsidRPr="00DD7218">
        <w:rPr>
          <w:rFonts w:ascii="Arial" w:hAnsi="Arial" w:cs="Arial"/>
          <w:b/>
          <w:szCs w:val="24"/>
        </w:rPr>
        <w:t>D</w:t>
      </w:r>
      <w:r w:rsidR="00707978">
        <w:rPr>
          <w:rFonts w:ascii="Arial" w:hAnsi="Arial" w:cs="Arial"/>
          <w:b/>
          <w:szCs w:val="24"/>
        </w:rPr>
        <w:t>atos de la demanda.</w:t>
      </w:r>
      <w:r w:rsidR="003C01B9" w:rsidRPr="00DD7218">
        <w:rPr>
          <w:rFonts w:ascii="Arial" w:hAnsi="Arial" w:cs="Arial"/>
          <w:b/>
          <w:szCs w:val="24"/>
        </w:rPr>
        <w:t xml:space="preserve"> </w:t>
      </w:r>
      <w:r w:rsidR="003C01B9" w:rsidRPr="00DD7218">
        <w:rPr>
          <w:rFonts w:ascii="Arial" w:hAnsi="Arial" w:cs="Arial"/>
          <w:szCs w:val="24"/>
        </w:rPr>
        <w:t xml:space="preserve">Mediante acuerdo de </w:t>
      </w:r>
      <w:r w:rsidR="00135D85" w:rsidRPr="00DD7218">
        <w:rPr>
          <w:rFonts w:ascii="Arial" w:hAnsi="Arial" w:cs="Arial"/>
          <w:szCs w:val="24"/>
        </w:rPr>
        <w:t>cinco</w:t>
      </w:r>
      <w:r w:rsidR="00BF16A3" w:rsidRPr="00DD7218">
        <w:rPr>
          <w:rFonts w:ascii="Arial" w:hAnsi="Arial" w:cs="Arial"/>
          <w:szCs w:val="24"/>
        </w:rPr>
        <w:t xml:space="preserve"> de octubre</w:t>
      </w:r>
      <w:r w:rsidR="005213F2" w:rsidRPr="00DD7218">
        <w:rPr>
          <w:rFonts w:ascii="Arial" w:hAnsi="Arial" w:cs="Arial"/>
          <w:szCs w:val="24"/>
        </w:rPr>
        <w:t xml:space="preserve"> de dos mil diecisiete, </w:t>
      </w:r>
      <w:r w:rsidR="005213F2" w:rsidRPr="00DD7218">
        <w:rPr>
          <w:rFonts w:ascii="Arial" w:hAnsi="Arial" w:cs="Arial"/>
          <w:color w:val="000000"/>
          <w:szCs w:val="24"/>
        </w:rPr>
        <w:t>se tuvo al actor</w:t>
      </w:r>
      <w:r w:rsidR="005213F2" w:rsidRPr="00DD7218">
        <w:rPr>
          <w:rFonts w:ascii="Arial" w:hAnsi="Arial" w:cs="Arial"/>
          <w:b/>
          <w:szCs w:val="24"/>
        </w:rPr>
        <w:t xml:space="preserve"> </w:t>
      </w:r>
      <w:r w:rsidR="001C4603">
        <w:rPr>
          <w:rFonts w:cs="Arial"/>
          <w:b/>
          <w:szCs w:val="24"/>
        </w:rPr>
        <w:t>**********</w:t>
      </w:r>
      <w:r w:rsidR="007F443B" w:rsidRPr="00DD7218">
        <w:rPr>
          <w:rFonts w:ascii="Arial" w:hAnsi="Arial" w:cs="Arial"/>
          <w:szCs w:val="24"/>
        </w:rPr>
        <w:t xml:space="preserve">, </w:t>
      </w:r>
      <w:r w:rsidR="00874C59" w:rsidRPr="00DD7218">
        <w:rPr>
          <w:rFonts w:ascii="Arial" w:hAnsi="Arial" w:cs="Arial"/>
          <w:bCs/>
          <w:color w:val="000000"/>
          <w:szCs w:val="24"/>
        </w:rPr>
        <w:t>demanda</w:t>
      </w:r>
      <w:r w:rsidR="00CD362A" w:rsidRPr="00DD7218">
        <w:rPr>
          <w:rFonts w:ascii="Arial" w:hAnsi="Arial" w:cs="Arial"/>
          <w:bCs/>
          <w:color w:val="000000"/>
          <w:szCs w:val="24"/>
        </w:rPr>
        <w:t>n</w:t>
      </w:r>
      <w:r w:rsidR="00874C59" w:rsidRPr="00DD7218">
        <w:rPr>
          <w:rFonts w:ascii="Arial" w:hAnsi="Arial" w:cs="Arial"/>
          <w:bCs/>
          <w:color w:val="000000"/>
          <w:szCs w:val="24"/>
        </w:rPr>
        <w:t xml:space="preserve">do </w:t>
      </w:r>
      <w:r w:rsidR="005213F2" w:rsidRPr="00DD7218">
        <w:rPr>
          <w:rFonts w:ascii="Arial" w:hAnsi="Arial" w:cs="Arial"/>
          <w:bCs/>
          <w:color w:val="000000"/>
          <w:szCs w:val="24"/>
        </w:rPr>
        <w:t>por su propio derecho</w:t>
      </w:r>
      <w:r w:rsidR="00CD362A" w:rsidRPr="00DD7218">
        <w:rPr>
          <w:rFonts w:ascii="Arial" w:hAnsi="Arial" w:cs="Arial"/>
          <w:bCs/>
          <w:color w:val="000000"/>
          <w:szCs w:val="24"/>
        </w:rPr>
        <w:t>,</w:t>
      </w:r>
      <w:r w:rsidR="005213F2" w:rsidRPr="00DD7218">
        <w:rPr>
          <w:rFonts w:ascii="Arial" w:hAnsi="Arial" w:cs="Arial"/>
          <w:bCs/>
          <w:color w:val="000000"/>
          <w:szCs w:val="24"/>
        </w:rPr>
        <w:t xml:space="preserve"> </w:t>
      </w:r>
      <w:r w:rsidR="005213F2" w:rsidRPr="00DD7218">
        <w:rPr>
          <w:rFonts w:ascii="Arial" w:hAnsi="Arial" w:cs="Arial"/>
          <w:color w:val="000000"/>
          <w:szCs w:val="24"/>
        </w:rPr>
        <w:t xml:space="preserve">la nulidad </w:t>
      </w:r>
      <w:r w:rsidR="00135D85" w:rsidRPr="00DD7218">
        <w:rPr>
          <w:rFonts w:ascii="Arial" w:hAnsi="Arial" w:cs="Arial"/>
          <w:color w:val="000000"/>
          <w:szCs w:val="24"/>
        </w:rPr>
        <w:t xml:space="preserve">del aviso previo de embargo </w:t>
      </w:r>
      <w:r w:rsidRPr="00DD7218">
        <w:rPr>
          <w:rFonts w:ascii="Arial" w:hAnsi="Arial" w:cs="Arial"/>
          <w:szCs w:val="24"/>
        </w:rPr>
        <w:t xml:space="preserve">con número de control </w:t>
      </w:r>
      <w:r w:rsidR="001C4603">
        <w:rPr>
          <w:rFonts w:cs="Arial"/>
          <w:b/>
          <w:szCs w:val="24"/>
        </w:rPr>
        <w:t>**********</w:t>
      </w:r>
      <w:r w:rsidR="00AE3A50" w:rsidRPr="00DD7218">
        <w:rPr>
          <w:rFonts w:ascii="Arial" w:hAnsi="Arial" w:cs="Arial"/>
          <w:szCs w:val="24"/>
        </w:rPr>
        <w:t>,</w:t>
      </w:r>
      <w:r w:rsidRPr="00DD7218">
        <w:rPr>
          <w:rFonts w:ascii="Arial" w:hAnsi="Arial" w:cs="Arial"/>
          <w:szCs w:val="24"/>
        </w:rPr>
        <w:t xml:space="preserve"> de fecha </w:t>
      </w:r>
      <w:r w:rsidR="00327E22" w:rsidRPr="00DD7218">
        <w:rPr>
          <w:rFonts w:ascii="Arial" w:hAnsi="Arial" w:cs="Arial"/>
          <w:szCs w:val="24"/>
        </w:rPr>
        <w:t>uno</w:t>
      </w:r>
      <w:r w:rsidRPr="00DD7218">
        <w:rPr>
          <w:rFonts w:ascii="Arial" w:hAnsi="Arial" w:cs="Arial"/>
          <w:szCs w:val="24"/>
        </w:rPr>
        <w:t xml:space="preserve"> de </w:t>
      </w:r>
      <w:r w:rsidR="00327E22" w:rsidRPr="00DD7218">
        <w:rPr>
          <w:rFonts w:ascii="Arial" w:hAnsi="Arial" w:cs="Arial"/>
          <w:szCs w:val="24"/>
        </w:rPr>
        <w:t>septiembre</w:t>
      </w:r>
      <w:r w:rsidRPr="00DD7218">
        <w:rPr>
          <w:rFonts w:ascii="Arial" w:hAnsi="Arial" w:cs="Arial"/>
          <w:szCs w:val="24"/>
        </w:rPr>
        <w:t xml:space="preserve"> de dos mil diecisiete, </w:t>
      </w:r>
      <w:r w:rsidR="00327E22" w:rsidRPr="00DD7218">
        <w:rPr>
          <w:rFonts w:ascii="Arial" w:hAnsi="Arial" w:cs="Arial"/>
          <w:szCs w:val="24"/>
        </w:rPr>
        <w:t xml:space="preserve">emitido por la </w:t>
      </w:r>
      <w:r w:rsidR="00121C0C" w:rsidRPr="00DD7218">
        <w:rPr>
          <w:rFonts w:ascii="Arial" w:hAnsi="Arial" w:cs="Arial"/>
          <w:szCs w:val="24"/>
        </w:rPr>
        <w:t>Procuraduría Fiscal d</w:t>
      </w:r>
      <w:r w:rsidR="00327E22" w:rsidRPr="00DD7218">
        <w:rPr>
          <w:rFonts w:ascii="Arial" w:hAnsi="Arial" w:cs="Arial"/>
          <w:szCs w:val="24"/>
        </w:rPr>
        <w:t xml:space="preserve">el Gobierno </w:t>
      </w:r>
      <w:r w:rsidR="00121C0C" w:rsidRPr="00DD7218">
        <w:rPr>
          <w:rFonts w:ascii="Arial" w:hAnsi="Arial" w:cs="Arial"/>
          <w:szCs w:val="24"/>
        </w:rPr>
        <w:t>d</w:t>
      </w:r>
      <w:r w:rsidR="00327E22" w:rsidRPr="00DD7218">
        <w:rPr>
          <w:rFonts w:ascii="Arial" w:hAnsi="Arial" w:cs="Arial"/>
          <w:szCs w:val="24"/>
        </w:rPr>
        <w:t>el Estado;</w:t>
      </w:r>
      <w:r w:rsidR="00874C59" w:rsidRPr="00DD7218">
        <w:rPr>
          <w:rFonts w:ascii="Arial" w:hAnsi="Arial" w:cs="Arial"/>
          <w:szCs w:val="24"/>
        </w:rPr>
        <w:t xml:space="preserve"> por lo que se </w:t>
      </w:r>
      <w:r w:rsidR="00A85CDE" w:rsidRPr="00DD7218">
        <w:rPr>
          <w:rFonts w:ascii="Arial" w:hAnsi="Arial" w:cs="Arial"/>
          <w:szCs w:val="24"/>
        </w:rPr>
        <w:t>ordenó</w:t>
      </w:r>
      <w:r w:rsidR="00874C59" w:rsidRPr="00DD7218">
        <w:rPr>
          <w:rFonts w:ascii="Arial" w:hAnsi="Arial" w:cs="Arial"/>
          <w:szCs w:val="24"/>
        </w:rPr>
        <w:t xml:space="preserve"> </w:t>
      </w:r>
      <w:r w:rsidR="00A85CDE" w:rsidRPr="00DD7218">
        <w:rPr>
          <w:rFonts w:ascii="Arial" w:hAnsi="Arial" w:cs="Arial"/>
          <w:szCs w:val="24"/>
        </w:rPr>
        <w:t xml:space="preserve">notificar, emplazar y correr traslado a la autoridad demandada, </w:t>
      </w:r>
      <w:r w:rsidR="00A85CDE" w:rsidRPr="00DD7218">
        <w:rPr>
          <w:rFonts w:ascii="Arial" w:hAnsi="Arial" w:cs="Arial"/>
          <w:color w:val="000000"/>
          <w:szCs w:val="24"/>
        </w:rPr>
        <w:t xml:space="preserve">para que produjera su contestación en el término </w:t>
      </w:r>
      <w:r w:rsidR="00595E46" w:rsidRPr="00DD7218">
        <w:rPr>
          <w:rFonts w:ascii="Arial" w:hAnsi="Arial" w:cs="Arial"/>
          <w:color w:val="000000"/>
          <w:szCs w:val="24"/>
        </w:rPr>
        <w:t>previsto en</w:t>
      </w:r>
      <w:r w:rsidR="00A85CDE" w:rsidRPr="00DD7218">
        <w:rPr>
          <w:rFonts w:ascii="Arial" w:hAnsi="Arial" w:cs="Arial"/>
          <w:color w:val="000000"/>
          <w:szCs w:val="24"/>
        </w:rPr>
        <w:t xml:space="preserve"> </w:t>
      </w:r>
      <w:r w:rsidR="00595E46" w:rsidRPr="00DD7218">
        <w:rPr>
          <w:rFonts w:ascii="Arial" w:hAnsi="Arial" w:cs="Arial"/>
          <w:color w:val="000000"/>
          <w:szCs w:val="24"/>
        </w:rPr>
        <w:t xml:space="preserve">la </w:t>
      </w:r>
      <w:r w:rsidR="00A85CDE" w:rsidRPr="00DD7218">
        <w:rPr>
          <w:rFonts w:ascii="Arial" w:hAnsi="Arial" w:cs="Arial"/>
          <w:color w:val="000000"/>
          <w:szCs w:val="24"/>
        </w:rPr>
        <w:t xml:space="preserve">ley, </w:t>
      </w:r>
      <w:r w:rsidR="00BF16A3" w:rsidRPr="00DD7218">
        <w:rPr>
          <w:rFonts w:ascii="Arial" w:hAnsi="Arial" w:cs="Arial"/>
          <w:color w:val="000000"/>
          <w:szCs w:val="24"/>
        </w:rPr>
        <w:t>, así también fueron admitidas las pruebas que ofreció.</w:t>
      </w:r>
    </w:p>
    <w:p w14:paraId="38158592" w14:textId="77777777" w:rsidR="00E66DB8" w:rsidRPr="00DD7218" w:rsidRDefault="00E66DB8" w:rsidP="00E46238">
      <w:pPr>
        <w:spacing w:line="360" w:lineRule="auto"/>
        <w:ind w:right="51"/>
        <w:jc w:val="both"/>
        <w:rPr>
          <w:rFonts w:ascii="Arial" w:hAnsi="Arial" w:cs="Arial"/>
          <w:b/>
          <w:bCs/>
          <w:sz w:val="24"/>
          <w:szCs w:val="24"/>
        </w:rPr>
      </w:pPr>
    </w:p>
    <w:p w14:paraId="2CB1FA0C" w14:textId="77777777" w:rsidR="00CD362A" w:rsidRPr="00DD7218" w:rsidRDefault="00A85CDE" w:rsidP="002150EB">
      <w:pPr>
        <w:spacing w:line="360" w:lineRule="auto"/>
        <w:ind w:right="51" w:firstLine="567"/>
        <w:jc w:val="both"/>
        <w:rPr>
          <w:rFonts w:ascii="Arial" w:hAnsi="Arial" w:cs="Arial"/>
          <w:sz w:val="24"/>
          <w:szCs w:val="24"/>
        </w:rPr>
      </w:pPr>
      <w:r w:rsidRPr="00DD7218">
        <w:rPr>
          <w:rFonts w:ascii="Arial" w:hAnsi="Arial" w:cs="Arial"/>
          <w:b/>
          <w:sz w:val="24"/>
          <w:szCs w:val="24"/>
        </w:rPr>
        <w:t>SEGUNDO</w:t>
      </w:r>
      <w:r w:rsidR="00707978">
        <w:rPr>
          <w:rFonts w:ascii="Arial" w:hAnsi="Arial" w:cs="Arial"/>
          <w:sz w:val="24"/>
          <w:szCs w:val="24"/>
        </w:rPr>
        <w:t>.</w:t>
      </w:r>
      <w:r w:rsidR="00E66DB8" w:rsidRPr="00DD7218">
        <w:rPr>
          <w:rFonts w:ascii="Arial" w:hAnsi="Arial" w:cs="Arial"/>
          <w:sz w:val="24"/>
          <w:szCs w:val="24"/>
        </w:rPr>
        <w:t xml:space="preserve"> </w:t>
      </w:r>
      <w:r w:rsidR="00DF0463" w:rsidRPr="00DD7218">
        <w:rPr>
          <w:rFonts w:ascii="Arial" w:hAnsi="Arial" w:cs="Arial"/>
          <w:sz w:val="24"/>
          <w:szCs w:val="24"/>
        </w:rPr>
        <w:t>Por</w:t>
      </w:r>
      <w:r w:rsidR="00E66DB8" w:rsidRPr="00DD7218">
        <w:rPr>
          <w:rFonts w:ascii="Arial" w:hAnsi="Arial" w:cs="Arial"/>
          <w:sz w:val="24"/>
          <w:szCs w:val="24"/>
        </w:rPr>
        <w:t xml:space="preserve"> auto de </w:t>
      </w:r>
      <w:r w:rsidR="00327E22" w:rsidRPr="00DD7218">
        <w:rPr>
          <w:rFonts w:ascii="Arial" w:hAnsi="Arial" w:cs="Arial"/>
          <w:sz w:val="24"/>
          <w:szCs w:val="24"/>
        </w:rPr>
        <w:t xml:space="preserve">veintinueve </w:t>
      </w:r>
      <w:r w:rsidR="007A2E16" w:rsidRPr="00DD7218">
        <w:rPr>
          <w:rFonts w:ascii="Arial" w:hAnsi="Arial" w:cs="Arial"/>
          <w:sz w:val="24"/>
          <w:szCs w:val="24"/>
        </w:rPr>
        <w:t xml:space="preserve">de enero </w:t>
      </w:r>
      <w:r w:rsidR="00E66DB8" w:rsidRPr="00DD7218">
        <w:rPr>
          <w:rFonts w:ascii="Arial" w:hAnsi="Arial" w:cs="Arial"/>
          <w:sz w:val="24"/>
          <w:szCs w:val="24"/>
        </w:rPr>
        <w:t xml:space="preserve">de dos mil </w:t>
      </w:r>
      <w:r w:rsidR="00C976E6" w:rsidRPr="00DD7218">
        <w:rPr>
          <w:rFonts w:ascii="Arial" w:hAnsi="Arial" w:cs="Arial"/>
          <w:sz w:val="24"/>
          <w:szCs w:val="24"/>
        </w:rPr>
        <w:t>dieci</w:t>
      </w:r>
      <w:r w:rsidR="006C1F68" w:rsidRPr="00DD7218">
        <w:rPr>
          <w:rFonts w:ascii="Arial" w:hAnsi="Arial" w:cs="Arial"/>
          <w:sz w:val="24"/>
          <w:szCs w:val="24"/>
        </w:rPr>
        <w:t>ocho</w:t>
      </w:r>
      <w:r w:rsidR="00C976E6" w:rsidRPr="00DD7218">
        <w:rPr>
          <w:rFonts w:ascii="Arial" w:hAnsi="Arial" w:cs="Arial"/>
          <w:sz w:val="24"/>
          <w:szCs w:val="24"/>
        </w:rPr>
        <w:t>,</w:t>
      </w:r>
      <w:r w:rsidR="00E66DB8" w:rsidRPr="00DD7218">
        <w:rPr>
          <w:rFonts w:ascii="Arial" w:hAnsi="Arial" w:cs="Arial"/>
          <w:sz w:val="24"/>
          <w:szCs w:val="24"/>
        </w:rPr>
        <w:t xml:space="preserve"> </w:t>
      </w:r>
      <w:r w:rsidR="00E0272F" w:rsidRPr="00DD7218">
        <w:rPr>
          <w:rFonts w:ascii="Arial" w:hAnsi="Arial" w:cs="Arial"/>
          <w:sz w:val="24"/>
          <w:szCs w:val="24"/>
        </w:rPr>
        <w:t xml:space="preserve">se tuvo a la </w:t>
      </w:r>
      <w:r w:rsidR="00DF0463" w:rsidRPr="00DD7218">
        <w:rPr>
          <w:rFonts w:ascii="Arial" w:hAnsi="Arial" w:cs="Arial"/>
          <w:sz w:val="24"/>
          <w:szCs w:val="24"/>
        </w:rPr>
        <w:t>Directora de lo Contencioso de la Secretaría de Finanzas del Poder Ejecutivo del Estado</w:t>
      </w:r>
      <w:r w:rsidR="00E66DB8" w:rsidRPr="00DD7218">
        <w:rPr>
          <w:rFonts w:ascii="Arial" w:hAnsi="Arial" w:cs="Arial"/>
          <w:sz w:val="24"/>
          <w:szCs w:val="24"/>
        </w:rPr>
        <w:t xml:space="preserve">, </w:t>
      </w:r>
      <w:r w:rsidR="002150EB" w:rsidRPr="00DD7218">
        <w:rPr>
          <w:rFonts w:ascii="Arial" w:hAnsi="Arial" w:cs="Arial"/>
          <w:sz w:val="24"/>
          <w:szCs w:val="24"/>
        </w:rPr>
        <w:t xml:space="preserve">quien promueve en representación legal de la autoridad demandada, </w:t>
      </w:r>
      <w:r w:rsidR="00E66DB8" w:rsidRPr="00DD7218">
        <w:rPr>
          <w:rFonts w:ascii="Arial" w:hAnsi="Arial" w:cs="Arial"/>
          <w:sz w:val="24"/>
          <w:szCs w:val="24"/>
        </w:rPr>
        <w:t>contestan</w:t>
      </w:r>
      <w:r w:rsidR="00707978">
        <w:rPr>
          <w:rFonts w:ascii="Arial" w:hAnsi="Arial" w:cs="Arial"/>
          <w:sz w:val="24"/>
          <w:szCs w:val="24"/>
        </w:rPr>
        <w:t>do la demanda en tiempo y forma;</w:t>
      </w:r>
      <w:r w:rsidR="00E66DB8" w:rsidRPr="00DD7218">
        <w:rPr>
          <w:rFonts w:ascii="Arial" w:hAnsi="Arial" w:cs="Arial"/>
          <w:sz w:val="24"/>
          <w:szCs w:val="24"/>
        </w:rPr>
        <w:t xml:space="preserve"> </w:t>
      </w:r>
      <w:r w:rsidR="001155BE" w:rsidRPr="00DD7218">
        <w:rPr>
          <w:rFonts w:ascii="Arial" w:hAnsi="Arial" w:cs="Arial"/>
          <w:sz w:val="24"/>
          <w:szCs w:val="24"/>
        </w:rPr>
        <w:t xml:space="preserve">en cuanto a las pruebas se tuvieron por admitidas las que </w:t>
      </w:r>
      <w:r w:rsidR="00E0272F" w:rsidRPr="00DD7218">
        <w:rPr>
          <w:rFonts w:ascii="Arial" w:hAnsi="Arial" w:cs="Arial"/>
          <w:sz w:val="24"/>
          <w:szCs w:val="24"/>
        </w:rPr>
        <w:t>se ofrecieron</w:t>
      </w:r>
      <w:r w:rsidR="00CD362A" w:rsidRPr="00DD7218">
        <w:rPr>
          <w:rFonts w:ascii="Arial" w:hAnsi="Arial" w:cs="Arial"/>
          <w:sz w:val="24"/>
          <w:szCs w:val="24"/>
        </w:rPr>
        <w:t>;</w:t>
      </w:r>
      <w:r w:rsidR="001155BE" w:rsidRPr="00DD7218">
        <w:rPr>
          <w:rFonts w:ascii="Arial" w:hAnsi="Arial" w:cs="Arial"/>
          <w:sz w:val="24"/>
          <w:szCs w:val="24"/>
        </w:rPr>
        <w:t xml:space="preserve"> asimismo</w:t>
      </w:r>
      <w:r w:rsidR="00CD362A" w:rsidRPr="00DD7218">
        <w:rPr>
          <w:rFonts w:ascii="Arial" w:hAnsi="Arial" w:cs="Arial"/>
          <w:sz w:val="24"/>
          <w:szCs w:val="24"/>
        </w:rPr>
        <w:t>,</w:t>
      </w:r>
      <w:r w:rsidR="001155BE" w:rsidRPr="00DD7218">
        <w:rPr>
          <w:rFonts w:ascii="Arial" w:hAnsi="Arial" w:cs="Arial"/>
          <w:sz w:val="24"/>
          <w:szCs w:val="24"/>
        </w:rPr>
        <w:t xml:space="preserve"> se señaló fecha y hora para la celebración de la audiencia final.</w:t>
      </w:r>
    </w:p>
    <w:p w14:paraId="42D26731" w14:textId="77777777" w:rsidR="003F288E" w:rsidRPr="00DD7218" w:rsidRDefault="003F288E" w:rsidP="002150EB">
      <w:pPr>
        <w:spacing w:line="360" w:lineRule="auto"/>
        <w:ind w:right="51" w:firstLine="567"/>
        <w:jc w:val="both"/>
        <w:rPr>
          <w:rFonts w:ascii="Arial" w:hAnsi="Arial" w:cs="Arial"/>
          <w:sz w:val="24"/>
          <w:szCs w:val="24"/>
        </w:rPr>
      </w:pPr>
    </w:p>
    <w:p w14:paraId="1CCD8B8F" w14:textId="77777777" w:rsidR="001155BE" w:rsidRPr="00DD7218" w:rsidRDefault="001155BE" w:rsidP="00E0272F">
      <w:pPr>
        <w:spacing w:line="360" w:lineRule="auto"/>
        <w:ind w:right="51"/>
        <w:jc w:val="both"/>
        <w:rPr>
          <w:rFonts w:ascii="Arial" w:hAnsi="Arial" w:cs="Arial"/>
          <w:b/>
          <w:bCs/>
          <w:sz w:val="24"/>
          <w:szCs w:val="24"/>
        </w:rPr>
      </w:pPr>
      <w:r w:rsidRPr="00DD7218">
        <w:rPr>
          <w:rFonts w:ascii="Arial" w:hAnsi="Arial" w:cs="Arial"/>
          <w:sz w:val="24"/>
          <w:szCs w:val="24"/>
        </w:rPr>
        <w:t xml:space="preserve"> </w:t>
      </w:r>
      <w:r w:rsidR="00E0272F" w:rsidRPr="00DD7218">
        <w:rPr>
          <w:rFonts w:ascii="Arial" w:hAnsi="Arial" w:cs="Arial"/>
          <w:sz w:val="24"/>
          <w:szCs w:val="24"/>
        </w:rPr>
        <w:tab/>
      </w:r>
      <w:r w:rsidRPr="00DD7218">
        <w:rPr>
          <w:rFonts w:ascii="Arial" w:hAnsi="Arial" w:cs="Arial"/>
          <w:b/>
          <w:bCs/>
          <w:sz w:val="24"/>
          <w:szCs w:val="24"/>
        </w:rPr>
        <w:t xml:space="preserve">TERCERO.  </w:t>
      </w:r>
      <w:r w:rsidRPr="00DD7218">
        <w:rPr>
          <w:rFonts w:ascii="Arial" w:hAnsi="Arial" w:cs="Arial"/>
          <w:color w:val="000000"/>
          <w:sz w:val="24"/>
          <w:szCs w:val="24"/>
        </w:rPr>
        <w:t>Mediante</w:t>
      </w:r>
      <w:r w:rsidRPr="00DD7218">
        <w:rPr>
          <w:rFonts w:ascii="Arial" w:hAnsi="Arial" w:cs="Arial"/>
          <w:b/>
          <w:color w:val="000000"/>
          <w:sz w:val="24"/>
          <w:szCs w:val="24"/>
        </w:rPr>
        <w:t xml:space="preserve"> </w:t>
      </w:r>
      <w:r w:rsidRPr="00DD7218">
        <w:rPr>
          <w:rFonts w:ascii="Arial" w:hAnsi="Arial" w:cs="Arial"/>
          <w:color w:val="000000"/>
          <w:sz w:val="24"/>
          <w:szCs w:val="24"/>
        </w:rPr>
        <w:t xml:space="preserve">proveído de </w:t>
      </w:r>
      <w:r w:rsidR="00327E22" w:rsidRPr="00DD7218">
        <w:rPr>
          <w:rFonts w:ascii="Arial" w:hAnsi="Arial" w:cs="Arial"/>
          <w:color w:val="000000"/>
          <w:sz w:val="24"/>
          <w:szCs w:val="24"/>
        </w:rPr>
        <w:t>dos</w:t>
      </w:r>
      <w:r w:rsidRPr="00DD7218">
        <w:rPr>
          <w:rFonts w:ascii="Arial" w:hAnsi="Arial" w:cs="Arial"/>
          <w:color w:val="000000"/>
          <w:sz w:val="24"/>
          <w:szCs w:val="24"/>
        </w:rPr>
        <w:t xml:space="preserve"> de marzo de dos mil dieciocho,</w:t>
      </w:r>
      <w:r w:rsidRPr="00DD7218">
        <w:rPr>
          <w:rFonts w:ascii="Arial" w:hAnsi="Arial" w:cs="Arial"/>
          <w:sz w:val="24"/>
          <w:szCs w:val="24"/>
        </w:rPr>
        <w:t xml:space="preserve"> se hizo del conocimiento a las partes </w:t>
      </w:r>
      <w:r w:rsidR="00762A6F" w:rsidRPr="00DD7218">
        <w:rPr>
          <w:rFonts w:ascii="Arial" w:hAnsi="Arial" w:cs="Arial"/>
          <w:sz w:val="24"/>
          <w:szCs w:val="24"/>
        </w:rPr>
        <w:t>d</w:t>
      </w:r>
      <w:r w:rsidRPr="00DD7218">
        <w:rPr>
          <w:rFonts w:ascii="Arial" w:hAnsi="Arial" w:cs="Arial"/>
          <w:sz w:val="24"/>
          <w:szCs w:val="24"/>
        </w:rPr>
        <w:t>el Acuerdo 02/2018, de la Sala Superior</w:t>
      </w:r>
      <w:r w:rsidR="00762A6F" w:rsidRPr="00DD7218">
        <w:rPr>
          <w:rFonts w:ascii="Arial" w:hAnsi="Arial" w:cs="Arial"/>
          <w:sz w:val="24"/>
          <w:szCs w:val="24"/>
        </w:rPr>
        <w:t xml:space="preserve"> </w:t>
      </w:r>
      <w:r w:rsidRPr="00DD7218">
        <w:rPr>
          <w:rFonts w:ascii="Arial" w:hAnsi="Arial" w:cs="Arial"/>
          <w:sz w:val="24"/>
          <w:szCs w:val="24"/>
        </w:rPr>
        <w:t xml:space="preserve">del </w:t>
      </w:r>
      <w:r w:rsidRPr="00DD7218">
        <w:rPr>
          <w:rFonts w:ascii="Arial" w:hAnsi="Arial" w:cs="Arial"/>
          <w:sz w:val="24"/>
          <w:szCs w:val="24"/>
        </w:rPr>
        <w:lastRenderedPageBreak/>
        <w:t>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w:t>
      </w:r>
      <w:r w:rsidR="00707978">
        <w:rPr>
          <w:rFonts w:ascii="Arial" w:hAnsi="Arial" w:cs="Arial"/>
          <w:sz w:val="24"/>
          <w:szCs w:val="24"/>
        </w:rPr>
        <w:t>an</w:t>
      </w:r>
      <w:r w:rsidRPr="00DD7218">
        <w:rPr>
          <w:rFonts w:ascii="Arial" w:hAnsi="Arial" w:cs="Arial"/>
          <w:sz w:val="24"/>
          <w:szCs w:val="24"/>
        </w:rPr>
        <w:t xml:space="preserve"> lo que a su derecho conviniera</w:t>
      </w:r>
      <w:r w:rsidR="003F64EF" w:rsidRPr="00DD7218">
        <w:rPr>
          <w:rFonts w:ascii="Arial" w:hAnsi="Arial" w:cs="Arial"/>
          <w:sz w:val="24"/>
          <w:szCs w:val="24"/>
        </w:rPr>
        <w:t>.</w:t>
      </w:r>
      <w:r w:rsidR="00E66DB8" w:rsidRPr="00DD7218">
        <w:rPr>
          <w:rFonts w:ascii="Arial" w:hAnsi="Arial" w:cs="Arial"/>
          <w:b/>
          <w:bCs/>
          <w:sz w:val="24"/>
          <w:szCs w:val="24"/>
        </w:rPr>
        <w:t xml:space="preserve">             </w:t>
      </w:r>
    </w:p>
    <w:p w14:paraId="146FAEBD" w14:textId="77777777" w:rsidR="001155BE" w:rsidRPr="00DD7218" w:rsidRDefault="001155BE" w:rsidP="00E46238">
      <w:pPr>
        <w:spacing w:line="360" w:lineRule="auto"/>
        <w:ind w:right="51"/>
        <w:jc w:val="both"/>
        <w:rPr>
          <w:rFonts w:ascii="Arial" w:hAnsi="Arial" w:cs="Arial"/>
          <w:b/>
          <w:bCs/>
          <w:sz w:val="24"/>
          <w:szCs w:val="24"/>
        </w:rPr>
      </w:pPr>
    </w:p>
    <w:p w14:paraId="1B8F4E92" w14:textId="77777777" w:rsidR="0082314D" w:rsidRPr="00DD7218" w:rsidRDefault="00444817" w:rsidP="00CF52E3">
      <w:pPr>
        <w:pStyle w:val="Textoindependiente21"/>
        <w:spacing w:line="360" w:lineRule="auto"/>
        <w:ind w:firstLine="567"/>
        <w:rPr>
          <w:rFonts w:ascii="Arial" w:hAnsi="Arial" w:cs="Arial"/>
          <w:szCs w:val="24"/>
        </w:rPr>
      </w:pPr>
      <w:r w:rsidRPr="00DD7218">
        <w:rPr>
          <w:rFonts w:ascii="Arial" w:hAnsi="Arial" w:cs="Arial"/>
          <w:b/>
          <w:color w:val="000000"/>
          <w:szCs w:val="24"/>
        </w:rPr>
        <w:t>CUARTO.</w:t>
      </w:r>
      <w:r w:rsidRPr="00DD7218">
        <w:rPr>
          <w:rFonts w:ascii="Arial" w:hAnsi="Arial" w:cs="Arial"/>
          <w:color w:val="000000"/>
          <w:szCs w:val="24"/>
        </w:rPr>
        <w:t xml:space="preserve"> Con fecha </w:t>
      </w:r>
      <w:r w:rsidR="003F64EF" w:rsidRPr="00DD7218">
        <w:rPr>
          <w:rFonts w:ascii="Arial" w:hAnsi="Arial" w:cs="Arial"/>
          <w:color w:val="000000"/>
          <w:szCs w:val="24"/>
        </w:rPr>
        <w:t>dieciocho</w:t>
      </w:r>
      <w:r w:rsidR="00E0272F" w:rsidRPr="00DD7218">
        <w:rPr>
          <w:rFonts w:ascii="Arial" w:hAnsi="Arial" w:cs="Arial"/>
          <w:color w:val="000000"/>
          <w:szCs w:val="24"/>
        </w:rPr>
        <w:t xml:space="preserve"> </w:t>
      </w:r>
      <w:r w:rsidR="003F64EF" w:rsidRPr="00DD7218">
        <w:rPr>
          <w:rFonts w:ascii="Arial" w:hAnsi="Arial" w:cs="Arial"/>
          <w:color w:val="000000"/>
          <w:szCs w:val="24"/>
        </w:rPr>
        <w:t xml:space="preserve">de abril </w:t>
      </w:r>
      <w:r w:rsidR="00E0272F" w:rsidRPr="00DD7218">
        <w:rPr>
          <w:rFonts w:ascii="Arial" w:hAnsi="Arial" w:cs="Arial"/>
          <w:color w:val="000000"/>
          <w:szCs w:val="24"/>
        </w:rPr>
        <w:t xml:space="preserve">de </w:t>
      </w:r>
      <w:r w:rsidRPr="00DD7218">
        <w:rPr>
          <w:rFonts w:ascii="Arial" w:hAnsi="Arial" w:cs="Arial"/>
          <w:szCs w:val="24"/>
        </w:rPr>
        <w:t xml:space="preserve">dos mil dieciocho, se celebró la audiencia final, sin </w:t>
      </w:r>
      <w:r w:rsidR="00E0272F" w:rsidRPr="00DD7218">
        <w:rPr>
          <w:rFonts w:ascii="Arial" w:hAnsi="Arial" w:cs="Arial"/>
          <w:szCs w:val="24"/>
        </w:rPr>
        <w:t xml:space="preserve">la </w:t>
      </w:r>
      <w:r w:rsidRPr="00DD7218">
        <w:rPr>
          <w:rFonts w:ascii="Arial" w:hAnsi="Arial" w:cs="Arial"/>
          <w:szCs w:val="24"/>
        </w:rPr>
        <w:t xml:space="preserve">comparecencia de las partes ni de persona alguna que legalmente las representara; en la etapa de desahogo de pruebas se relacionaron las pruebas ofrecidas por el </w:t>
      </w:r>
      <w:r w:rsidR="003F64EF" w:rsidRPr="00DD7218">
        <w:rPr>
          <w:rFonts w:ascii="Arial" w:hAnsi="Arial" w:cs="Arial"/>
          <w:szCs w:val="24"/>
        </w:rPr>
        <w:t>administrado</w:t>
      </w:r>
      <w:r w:rsidRPr="00DD7218">
        <w:rPr>
          <w:rFonts w:ascii="Arial" w:hAnsi="Arial" w:cs="Arial"/>
          <w:szCs w:val="24"/>
        </w:rPr>
        <w:t>, consistentes en: 1.</w:t>
      </w:r>
      <w:r w:rsidR="0082521E" w:rsidRPr="00DD7218">
        <w:rPr>
          <w:rFonts w:ascii="Arial" w:hAnsi="Arial" w:cs="Arial"/>
          <w:szCs w:val="24"/>
        </w:rPr>
        <w:t>-</w:t>
      </w:r>
      <w:r w:rsidRPr="00DD7218">
        <w:rPr>
          <w:rFonts w:ascii="Arial" w:hAnsi="Arial" w:cs="Arial"/>
          <w:szCs w:val="24"/>
        </w:rPr>
        <w:t xml:space="preserve"> </w:t>
      </w:r>
      <w:r w:rsidR="0082314D" w:rsidRPr="00DD7218">
        <w:rPr>
          <w:rFonts w:ascii="Arial" w:hAnsi="Arial" w:cs="Arial"/>
          <w:szCs w:val="24"/>
        </w:rPr>
        <w:t xml:space="preserve">Copia simple de la credencial para votar a nombre de </w:t>
      </w:r>
      <w:r w:rsidR="001C4603">
        <w:rPr>
          <w:rFonts w:cs="Arial"/>
          <w:b/>
          <w:szCs w:val="24"/>
        </w:rPr>
        <w:t>**********</w:t>
      </w:r>
      <w:r w:rsidR="009D603A" w:rsidRPr="00DD7218">
        <w:rPr>
          <w:rFonts w:ascii="Arial" w:hAnsi="Arial" w:cs="Arial"/>
          <w:szCs w:val="24"/>
        </w:rPr>
        <w:t xml:space="preserve">; 2.- Copia simple de la credencial para votar a nombre de </w:t>
      </w:r>
      <w:r w:rsidR="001C4603">
        <w:rPr>
          <w:rFonts w:cs="Arial"/>
          <w:b/>
          <w:szCs w:val="24"/>
        </w:rPr>
        <w:t>**********</w:t>
      </w:r>
      <w:r w:rsidR="009D603A" w:rsidRPr="00DD7218">
        <w:rPr>
          <w:rFonts w:ascii="Arial" w:hAnsi="Arial" w:cs="Arial"/>
          <w:szCs w:val="24"/>
        </w:rPr>
        <w:t>: 3.- Copia de aviso previo de embargo de fecha uno de septiembre de d</w:t>
      </w:r>
      <w:r w:rsidR="001C4603">
        <w:rPr>
          <w:rFonts w:ascii="Arial" w:hAnsi="Arial" w:cs="Arial"/>
          <w:szCs w:val="24"/>
        </w:rPr>
        <w:t>os mil diecisiete;</w:t>
      </w:r>
      <w:r w:rsidR="00AE1608">
        <w:rPr>
          <w:rFonts w:ascii="Arial" w:hAnsi="Arial" w:cs="Arial"/>
          <w:szCs w:val="24"/>
        </w:rPr>
        <w:t xml:space="preserve"> </w:t>
      </w:r>
      <w:r w:rsidR="009D603A" w:rsidRPr="00DD7218">
        <w:rPr>
          <w:rFonts w:ascii="Arial" w:hAnsi="Arial" w:cs="Arial"/>
          <w:szCs w:val="24"/>
        </w:rPr>
        <w:t xml:space="preserve">4.- </w:t>
      </w:r>
      <w:r w:rsidR="008642DB" w:rsidRPr="00DD7218">
        <w:rPr>
          <w:rFonts w:ascii="Arial" w:hAnsi="Arial" w:cs="Arial"/>
          <w:szCs w:val="24"/>
        </w:rPr>
        <w:t>Copia simple de contrato privado de fecha siet</w:t>
      </w:r>
      <w:r w:rsidR="001C4603">
        <w:rPr>
          <w:rFonts w:ascii="Arial" w:hAnsi="Arial" w:cs="Arial"/>
          <w:szCs w:val="24"/>
        </w:rPr>
        <w:t>e de octubre de dos mil doce; y</w:t>
      </w:r>
      <w:r w:rsidR="00AE1608">
        <w:rPr>
          <w:rFonts w:ascii="Arial" w:hAnsi="Arial" w:cs="Arial"/>
          <w:szCs w:val="24"/>
        </w:rPr>
        <w:t xml:space="preserve"> </w:t>
      </w:r>
      <w:r w:rsidR="008642DB" w:rsidRPr="00DD7218">
        <w:rPr>
          <w:rFonts w:ascii="Arial" w:hAnsi="Arial" w:cs="Arial"/>
          <w:szCs w:val="24"/>
        </w:rPr>
        <w:t>5</w:t>
      </w:r>
      <w:r w:rsidR="00707978">
        <w:rPr>
          <w:rFonts w:ascii="Arial" w:hAnsi="Arial" w:cs="Arial"/>
          <w:szCs w:val="24"/>
        </w:rPr>
        <w:t>.-</w:t>
      </w:r>
      <w:r w:rsidR="008642DB" w:rsidRPr="00DD7218">
        <w:rPr>
          <w:rFonts w:ascii="Arial" w:hAnsi="Arial" w:cs="Arial"/>
          <w:szCs w:val="24"/>
        </w:rPr>
        <w:t xml:space="preserve"> La instrumental de actuaciones.  </w:t>
      </w:r>
      <w:r w:rsidR="009D603A" w:rsidRPr="00DD7218">
        <w:rPr>
          <w:rFonts w:ascii="Arial" w:hAnsi="Arial" w:cs="Arial"/>
          <w:szCs w:val="24"/>
        </w:rPr>
        <w:t xml:space="preserve">   </w:t>
      </w:r>
    </w:p>
    <w:p w14:paraId="63C5FC92" w14:textId="77777777" w:rsidR="0082314D" w:rsidRPr="00DD7218" w:rsidRDefault="0082314D" w:rsidP="00CF52E3">
      <w:pPr>
        <w:pStyle w:val="Textoindependiente21"/>
        <w:spacing w:line="360" w:lineRule="auto"/>
        <w:ind w:firstLine="567"/>
        <w:rPr>
          <w:rFonts w:ascii="Arial" w:hAnsi="Arial" w:cs="Arial"/>
          <w:szCs w:val="24"/>
        </w:rPr>
      </w:pPr>
    </w:p>
    <w:p w14:paraId="3D775C75" w14:textId="77777777" w:rsidR="00631CA6" w:rsidRPr="00DD7218" w:rsidRDefault="00444817" w:rsidP="003B09AF">
      <w:pPr>
        <w:spacing w:line="360" w:lineRule="auto"/>
        <w:ind w:right="51" w:firstLine="567"/>
        <w:jc w:val="both"/>
        <w:rPr>
          <w:rFonts w:ascii="Arial" w:hAnsi="Arial" w:cs="Arial"/>
          <w:sz w:val="24"/>
          <w:szCs w:val="24"/>
        </w:rPr>
      </w:pPr>
      <w:r w:rsidRPr="00DD7218">
        <w:rPr>
          <w:rFonts w:ascii="Arial" w:hAnsi="Arial" w:cs="Arial"/>
          <w:sz w:val="24"/>
          <w:szCs w:val="24"/>
        </w:rPr>
        <w:t xml:space="preserve">Por cuanto hace a las pruebas ofrecidas por </w:t>
      </w:r>
      <w:r w:rsidR="0049142C" w:rsidRPr="00DD7218">
        <w:rPr>
          <w:rFonts w:ascii="Arial" w:hAnsi="Arial" w:cs="Arial"/>
          <w:sz w:val="24"/>
          <w:szCs w:val="24"/>
        </w:rPr>
        <w:t>la Directora de lo Contencioso de la Secretaría de Finanzas del Poder Ejecutivo del Estado, en representación de la autoridad demanda</w:t>
      </w:r>
      <w:r w:rsidRPr="00DD7218">
        <w:rPr>
          <w:rFonts w:ascii="Arial" w:hAnsi="Arial" w:cs="Arial"/>
          <w:color w:val="000000"/>
          <w:sz w:val="24"/>
          <w:szCs w:val="24"/>
        </w:rPr>
        <w:t>,</w:t>
      </w:r>
      <w:r w:rsidRPr="00DD7218">
        <w:rPr>
          <w:rFonts w:ascii="Arial" w:hAnsi="Arial" w:cs="Arial"/>
          <w:sz w:val="24"/>
          <w:szCs w:val="24"/>
        </w:rPr>
        <w:t xml:space="preserve"> </w:t>
      </w:r>
      <w:r w:rsidR="00631CA6" w:rsidRPr="00DD7218">
        <w:rPr>
          <w:rFonts w:ascii="Arial" w:hAnsi="Arial" w:cs="Arial"/>
          <w:sz w:val="24"/>
          <w:szCs w:val="24"/>
        </w:rPr>
        <w:t xml:space="preserve">no se tuvo por enunciada prueba alguna. </w:t>
      </w:r>
    </w:p>
    <w:p w14:paraId="2722D22B" w14:textId="77777777" w:rsidR="00444817" w:rsidRPr="00DD7218" w:rsidRDefault="00444817" w:rsidP="00E46238">
      <w:pPr>
        <w:spacing w:line="360" w:lineRule="auto"/>
        <w:ind w:right="51" w:firstLine="567"/>
        <w:jc w:val="both"/>
        <w:rPr>
          <w:rFonts w:ascii="Arial" w:hAnsi="Arial" w:cs="Arial"/>
          <w:color w:val="000000"/>
          <w:sz w:val="24"/>
          <w:szCs w:val="24"/>
        </w:rPr>
      </w:pPr>
    </w:p>
    <w:p w14:paraId="7DE5710B" w14:textId="77777777" w:rsidR="00444817" w:rsidRPr="00DD7218" w:rsidRDefault="00444817" w:rsidP="003B09AF">
      <w:pPr>
        <w:spacing w:line="360" w:lineRule="auto"/>
        <w:ind w:right="51" w:firstLine="567"/>
        <w:jc w:val="both"/>
        <w:rPr>
          <w:rFonts w:ascii="Arial" w:hAnsi="Arial" w:cs="Arial"/>
          <w:sz w:val="24"/>
          <w:szCs w:val="24"/>
        </w:rPr>
      </w:pPr>
      <w:r w:rsidRPr="00DD7218">
        <w:rPr>
          <w:rFonts w:ascii="Arial" w:hAnsi="Arial" w:cs="Arial"/>
          <w:sz w:val="24"/>
          <w:szCs w:val="24"/>
        </w:rPr>
        <w:t xml:space="preserve">En el periodo de alegatos se dio cuenta con que las partes no exhibieron escrito alguno, por lo que se tuvo por cerrado dicho periodo; finalmente, se citó </w:t>
      </w:r>
      <w:r w:rsidR="00AE1608">
        <w:rPr>
          <w:rFonts w:ascii="Arial" w:hAnsi="Arial" w:cs="Arial"/>
          <w:sz w:val="24"/>
          <w:szCs w:val="24"/>
        </w:rPr>
        <w:t xml:space="preserve">a las partes para oír sentencia, </w:t>
      </w:r>
      <w:r w:rsidRPr="00DD7218">
        <w:rPr>
          <w:rFonts w:ascii="Arial" w:hAnsi="Arial" w:cs="Arial"/>
          <w:sz w:val="24"/>
          <w:szCs w:val="24"/>
        </w:rPr>
        <w:t>misma que ahora se pronuncia.</w:t>
      </w:r>
    </w:p>
    <w:p w14:paraId="662EA064" w14:textId="77777777" w:rsidR="00E66DB8" w:rsidRPr="00DD7218" w:rsidRDefault="00E66DB8" w:rsidP="00E46238">
      <w:pPr>
        <w:spacing w:line="360" w:lineRule="auto"/>
        <w:ind w:right="51"/>
        <w:jc w:val="both"/>
        <w:rPr>
          <w:rFonts w:ascii="Arial" w:hAnsi="Arial" w:cs="Arial"/>
          <w:b/>
          <w:sz w:val="24"/>
          <w:szCs w:val="24"/>
        </w:rPr>
      </w:pPr>
    </w:p>
    <w:p w14:paraId="25CBFDA9" w14:textId="77777777" w:rsidR="00E66DB8" w:rsidRPr="00DD7218" w:rsidRDefault="00E66DB8" w:rsidP="00E46238">
      <w:pPr>
        <w:spacing w:line="360" w:lineRule="auto"/>
        <w:ind w:right="51"/>
        <w:jc w:val="center"/>
        <w:rPr>
          <w:rFonts w:ascii="Arial" w:hAnsi="Arial" w:cs="Arial"/>
          <w:b/>
          <w:sz w:val="24"/>
          <w:szCs w:val="24"/>
          <w:lang w:val="pt-BR"/>
        </w:rPr>
      </w:pPr>
      <w:r w:rsidRPr="00DD7218">
        <w:rPr>
          <w:rFonts w:ascii="Arial" w:hAnsi="Arial" w:cs="Arial"/>
          <w:b/>
          <w:sz w:val="24"/>
          <w:szCs w:val="24"/>
          <w:lang w:val="pt-BR"/>
        </w:rPr>
        <w:t>C O N S I D E R A N D O:</w:t>
      </w:r>
    </w:p>
    <w:p w14:paraId="1DCF145D" w14:textId="77777777" w:rsidR="00E66DB8" w:rsidRPr="00DD7218" w:rsidRDefault="00E66DB8" w:rsidP="00E46238">
      <w:pPr>
        <w:spacing w:line="360" w:lineRule="auto"/>
        <w:ind w:right="51"/>
        <w:jc w:val="center"/>
        <w:rPr>
          <w:rFonts w:ascii="Arial" w:hAnsi="Arial" w:cs="Arial"/>
          <w:b/>
          <w:sz w:val="24"/>
          <w:szCs w:val="24"/>
          <w:lang w:val="pt-BR"/>
        </w:rPr>
      </w:pPr>
    </w:p>
    <w:p w14:paraId="2C4CF0B4" w14:textId="77777777" w:rsidR="00470AAB" w:rsidRPr="00DD7218" w:rsidRDefault="00E66DB8" w:rsidP="008B48B1">
      <w:pPr>
        <w:spacing w:line="360" w:lineRule="auto"/>
        <w:ind w:right="51" w:hanging="426"/>
        <w:jc w:val="both"/>
        <w:rPr>
          <w:rFonts w:ascii="Arial" w:hAnsi="Arial" w:cs="Arial"/>
          <w:sz w:val="24"/>
          <w:szCs w:val="24"/>
        </w:rPr>
      </w:pPr>
      <w:r w:rsidRPr="00DD7218">
        <w:rPr>
          <w:rFonts w:ascii="Arial" w:hAnsi="Arial" w:cs="Arial"/>
          <w:b/>
          <w:sz w:val="24"/>
          <w:szCs w:val="24"/>
        </w:rPr>
        <w:t xml:space="preserve">      </w:t>
      </w:r>
      <w:r w:rsidRPr="00DD7218">
        <w:rPr>
          <w:rFonts w:ascii="Arial" w:hAnsi="Arial" w:cs="Arial"/>
          <w:b/>
          <w:sz w:val="24"/>
          <w:szCs w:val="24"/>
        </w:rPr>
        <w:tab/>
      </w:r>
      <w:r w:rsidRPr="00DD7218">
        <w:rPr>
          <w:rFonts w:ascii="Arial" w:hAnsi="Arial" w:cs="Arial"/>
          <w:b/>
          <w:sz w:val="24"/>
          <w:szCs w:val="24"/>
        </w:rPr>
        <w:tab/>
      </w:r>
      <w:r w:rsidR="00121C0C" w:rsidRPr="00DD7218">
        <w:rPr>
          <w:rFonts w:ascii="Arial" w:hAnsi="Arial" w:cs="Arial"/>
          <w:b/>
          <w:sz w:val="24"/>
          <w:szCs w:val="24"/>
        </w:rPr>
        <w:t>PRIMERO.</w:t>
      </w:r>
      <w:r w:rsidR="00470AAB" w:rsidRPr="00DD7218">
        <w:rPr>
          <w:rFonts w:ascii="Arial" w:hAnsi="Arial" w:cs="Arial"/>
          <w:b/>
          <w:sz w:val="24"/>
          <w:szCs w:val="24"/>
        </w:rPr>
        <w:t xml:space="preserve"> Competencia</w:t>
      </w:r>
      <w:r w:rsidR="00121C0C" w:rsidRPr="00DD7218">
        <w:rPr>
          <w:rFonts w:ascii="Arial" w:hAnsi="Arial" w:cs="Arial"/>
          <w:sz w:val="24"/>
          <w:szCs w:val="24"/>
        </w:rPr>
        <w:t>.</w:t>
      </w:r>
      <w:r w:rsidR="00470AAB" w:rsidRPr="00DD7218">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 92, 96 fracciones I y II de la Ley de Justicia Administrativa para el Estado de Oaxaca, por tratarse de un juicio en contra de una resolución de carácter fiscal.</w:t>
      </w:r>
    </w:p>
    <w:p w14:paraId="1EBAF6B8" w14:textId="77777777" w:rsidR="00EE3D9F" w:rsidRPr="00DD7218" w:rsidRDefault="00E66DB8" w:rsidP="008B48B1">
      <w:pPr>
        <w:spacing w:line="360" w:lineRule="auto"/>
        <w:ind w:right="51" w:hanging="426"/>
        <w:jc w:val="both"/>
        <w:rPr>
          <w:rFonts w:ascii="Arial" w:hAnsi="Arial" w:cs="Arial"/>
          <w:b/>
          <w:sz w:val="24"/>
          <w:szCs w:val="24"/>
        </w:rPr>
      </w:pPr>
      <w:r w:rsidRPr="00DD7218">
        <w:rPr>
          <w:rFonts w:ascii="Arial" w:hAnsi="Arial" w:cs="Arial"/>
          <w:b/>
          <w:sz w:val="24"/>
          <w:szCs w:val="24"/>
        </w:rPr>
        <w:t xml:space="preserve">             </w:t>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r w:rsidR="003B09AF" w:rsidRPr="00DD7218">
        <w:rPr>
          <w:rFonts w:ascii="Arial" w:hAnsi="Arial" w:cs="Arial"/>
          <w:b/>
          <w:sz w:val="24"/>
          <w:szCs w:val="24"/>
        </w:rPr>
        <w:tab/>
      </w:r>
    </w:p>
    <w:p w14:paraId="0597B5B5" w14:textId="77777777" w:rsidR="00EE3D9F" w:rsidRPr="00DD7218" w:rsidRDefault="00EE3D9F" w:rsidP="008B48B1">
      <w:pPr>
        <w:spacing w:line="360" w:lineRule="auto"/>
        <w:ind w:right="51" w:hanging="426"/>
        <w:jc w:val="both"/>
        <w:rPr>
          <w:rFonts w:ascii="Arial" w:hAnsi="Arial" w:cs="Arial"/>
          <w:b/>
          <w:sz w:val="24"/>
          <w:szCs w:val="24"/>
        </w:rPr>
      </w:pPr>
    </w:p>
    <w:p w14:paraId="28229176" w14:textId="77777777" w:rsidR="008B48B1" w:rsidRPr="00DD7218" w:rsidRDefault="00121C0C" w:rsidP="00EE3D9F">
      <w:pPr>
        <w:spacing w:line="360" w:lineRule="auto"/>
        <w:ind w:right="51" w:firstLine="567"/>
        <w:jc w:val="both"/>
        <w:rPr>
          <w:rFonts w:ascii="Arial" w:hAnsi="Arial" w:cs="Arial"/>
          <w:sz w:val="24"/>
          <w:szCs w:val="24"/>
        </w:rPr>
      </w:pPr>
      <w:r w:rsidRPr="00DD7218">
        <w:rPr>
          <w:rFonts w:ascii="Arial" w:hAnsi="Arial" w:cs="Arial"/>
          <w:b/>
          <w:sz w:val="24"/>
          <w:szCs w:val="24"/>
        </w:rPr>
        <w:t>SEGUNDO.</w:t>
      </w:r>
      <w:r w:rsidR="00E66DB8" w:rsidRPr="00DD7218">
        <w:rPr>
          <w:rFonts w:ascii="Arial" w:hAnsi="Arial" w:cs="Arial"/>
          <w:b/>
          <w:sz w:val="24"/>
          <w:szCs w:val="24"/>
        </w:rPr>
        <w:t xml:space="preserve"> </w:t>
      </w:r>
      <w:r w:rsidR="008B48B1" w:rsidRPr="00DD7218">
        <w:rPr>
          <w:rFonts w:ascii="Arial" w:hAnsi="Arial" w:cs="Arial"/>
          <w:b/>
          <w:sz w:val="24"/>
          <w:szCs w:val="24"/>
        </w:rPr>
        <w:t>Personalidad</w:t>
      </w:r>
      <w:r w:rsidR="00470AAB" w:rsidRPr="00DD7218">
        <w:rPr>
          <w:rFonts w:ascii="Arial" w:hAnsi="Arial" w:cs="Arial"/>
          <w:b/>
          <w:sz w:val="24"/>
          <w:szCs w:val="24"/>
        </w:rPr>
        <w:t xml:space="preserve">. </w:t>
      </w:r>
      <w:r w:rsidR="00470AAB" w:rsidRPr="00DD7218">
        <w:rPr>
          <w:rFonts w:ascii="Arial" w:hAnsi="Arial" w:cs="Arial"/>
          <w:sz w:val="24"/>
          <w:szCs w:val="24"/>
        </w:rPr>
        <w:t>La personalidad de las partes</w:t>
      </w:r>
      <w:r w:rsidR="00470AAB" w:rsidRPr="00DD7218">
        <w:rPr>
          <w:rFonts w:ascii="Arial" w:hAnsi="Arial" w:cs="Arial"/>
          <w:b/>
          <w:sz w:val="24"/>
          <w:szCs w:val="24"/>
        </w:rPr>
        <w:t xml:space="preserve"> </w:t>
      </w:r>
      <w:r w:rsidR="00470AAB" w:rsidRPr="00DD7218">
        <w:rPr>
          <w:rFonts w:ascii="Arial" w:hAnsi="Arial" w:cs="Arial"/>
          <w:sz w:val="24"/>
          <w:szCs w:val="24"/>
        </w:rPr>
        <w:t xml:space="preserve">quedó acreditada en autos, en virtud que el actor </w:t>
      </w:r>
      <w:r w:rsidR="001C4603">
        <w:rPr>
          <w:rFonts w:cs="Arial"/>
          <w:b/>
          <w:sz w:val="24"/>
          <w:szCs w:val="24"/>
        </w:rPr>
        <w:t>**********</w:t>
      </w:r>
      <w:r w:rsidR="00F15007" w:rsidRPr="00DD7218">
        <w:rPr>
          <w:rFonts w:ascii="Arial" w:hAnsi="Arial" w:cs="Arial"/>
          <w:sz w:val="24"/>
          <w:szCs w:val="24"/>
        </w:rPr>
        <w:t>, promueve por propio derecho y la Directora de lo Contencioso de la Secretaría de Finanzas</w:t>
      </w:r>
      <w:r w:rsidR="008B48B1" w:rsidRPr="00DD7218">
        <w:rPr>
          <w:rFonts w:ascii="Arial" w:hAnsi="Arial" w:cs="Arial"/>
          <w:sz w:val="24"/>
          <w:szCs w:val="24"/>
        </w:rPr>
        <w:t xml:space="preserve"> de</w:t>
      </w:r>
      <w:r w:rsidR="00F15007" w:rsidRPr="00DD7218">
        <w:rPr>
          <w:rFonts w:ascii="Arial" w:hAnsi="Arial" w:cs="Arial"/>
          <w:sz w:val="24"/>
          <w:szCs w:val="24"/>
        </w:rPr>
        <w:t xml:space="preserve">l </w:t>
      </w:r>
      <w:r w:rsidR="003F288E" w:rsidRPr="00DD7218">
        <w:rPr>
          <w:rFonts w:ascii="Arial" w:hAnsi="Arial" w:cs="Arial"/>
          <w:sz w:val="24"/>
          <w:szCs w:val="24"/>
        </w:rPr>
        <w:t xml:space="preserve">Poder </w:t>
      </w:r>
      <w:r w:rsidR="00F15007" w:rsidRPr="00DD7218">
        <w:rPr>
          <w:rFonts w:ascii="Arial" w:hAnsi="Arial" w:cs="Arial"/>
          <w:sz w:val="24"/>
          <w:szCs w:val="24"/>
        </w:rPr>
        <w:t>Ejecutivo del Estado, promueve</w:t>
      </w:r>
      <w:r w:rsidR="002A24B0" w:rsidRPr="00DD7218">
        <w:rPr>
          <w:rFonts w:ascii="Arial" w:hAnsi="Arial" w:cs="Arial"/>
          <w:sz w:val="24"/>
          <w:szCs w:val="24"/>
        </w:rPr>
        <w:t xml:space="preserve"> en representación de la demandada, acreditando su personalidad con la copia certificada del nombramiento y toma de protesta, lo anterior con fundamento en los artículos 117 y 120 de la Ley de Justicia Administrativa para el Estado.</w:t>
      </w:r>
    </w:p>
    <w:p w14:paraId="513311E4" w14:textId="77777777" w:rsidR="002A24B0" w:rsidRPr="00DD7218" w:rsidRDefault="002A24B0" w:rsidP="008B48B1">
      <w:pPr>
        <w:spacing w:line="360" w:lineRule="auto"/>
        <w:ind w:right="51" w:hanging="426"/>
        <w:jc w:val="both"/>
        <w:rPr>
          <w:rFonts w:ascii="Arial" w:hAnsi="Arial" w:cs="Arial"/>
          <w:b/>
          <w:bCs/>
          <w:sz w:val="24"/>
          <w:szCs w:val="24"/>
        </w:rPr>
      </w:pPr>
    </w:p>
    <w:p w14:paraId="2F42303F" w14:textId="77777777" w:rsidR="00EE3D9F" w:rsidRPr="00DD7218" w:rsidRDefault="00EE3D9F" w:rsidP="00AE1608">
      <w:pPr>
        <w:pStyle w:val="Sangra2detindependiente2"/>
        <w:spacing w:line="360" w:lineRule="auto"/>
        <w:rPr>
          <w:rFonts w:cs="Arial"/>
          <w:szCs w:val="24"/>
        </w:rPr>
      </w:pPr>
      <w:r w:rsidRPr="00DD7218">
        <w:rPr>
          <w:rFonts w:cs="Arial"/>
          <w:b/>
          <w:bCs/>
          <w:szCs w:val="24"/>
        </w:rPr>
        <w:t xml:space="preserve">TERCERO. Causales de </w:t>
      </w:r>
      <w:r w:rsidR="00AE1608">
        <w:rPr>
          <w:rFonts w:cs="Arial"/>
          <w:b/>
          <w:bCs/>
          <w:szCs w:val="24"/>
        </w:rPr>
        <w:t>improcedencia y sobreseimiento.</w:t>
      </w:r>
      <w:r w:rsidRPr="00DD7218">
        <w:rPr>
          <w:rFonts w:cs="Arial"/>
          <w:b/>
          <w:bCs/>
          <w:szCs w:val="24"/>
        </w:rPr>
        <w:t xml:space="preserve"> </w:t>
      </w:r>
      <w:r w:rsidRPr="00DD7218">
        <w:rPr>
          <w:rFonts w:cs="Arial"/>
          <w:szCs w:val="24"/>
        </w:rPr>
        <w:t xml:space="preserve">Considerando que son de orden público y de estudio preferente a cualquier otra cuestión, esta autoridad resulta obligada a analizar, si en la especie se actualiza alguna causal de improcedencia del juicio de nulidad, ya sea invocada por las partes o bien, alguna que se advierta oficiosamente que impida el estudio del fondo del asunto, lo anterior en términos del artículo 131 de la Ley de Justicia Administrativa para el Estado. </w:t>
      </w:r>
    </w:p>
    <w:p w14:paraId="1941A141" w14:textId="77777777" w:rsidR="00EE3D9F" w:rsidRPr="00DD7218" w:rsidRDefault="00EE3D9F" w:rsidP="00EE3D9F">
      <w:pPr>
        <w:pStyle w:val="Sangra2detindependiente2"/>
        <w:spacing w:line="360" w:lineRule="auto"/>
        <w:ind w:firstLine="0"/>
        <w:rPr>
          <w:rFonts w:cs="Arial"/>
          <w:szCs w:val="24"/>
        </w:rPr>
      </w:pPr>
    </w:p>
    <w:p w14:paraId="05D3EF38" w14:textId="77777777" w:rsidR="00EE3D9F" w:rsidRPr="00DD7218" w:rsidRDefault="00EE3D9F" w:rsidP="00EE3D9F">
      <w:pPr>
        <w:spacing w:line="360" w:lineRule="auto"/>
        <w:ind w:right="-93" w:firstLine="567"/>
        <w:jc w:val="both"/>
        <w:rPr>
          <w:rFonts w:ascii="Arial" w:hAnsi="Arial" w:cs="Arial"/>
          <w:sz w:val="24"/>
          <w:szCs w:val="24"/>
        </w:rPr>
      </w:pPr>
      <w:r w:rsidRPr="00DD7218">
        <w:rPr>
          <w:rFonts w:ascii="Arial" w:hAnsi="Arial" w:cs="Arial"/>
          <w:sz w:val="24"/>
          <w:szCs w:val="24"/>
        </w:rPr>
        <w:t xml:space="preserve">La autoridad en su escrito de contestación </w:t>
      </w:r>
      <w:r w:rsidR="00AE1608">
        <w:rPr>
          <w:rFonts w:ascii="Arial" w:hAnsi="Arial" w:cs="Arial"/>
          <w:sz w:val="24"/>
          <w:szCs w:val="24"/>
        </w:rPr>
        <w:t xml:space="preserve">de la </w:t>
      </w:r>
      <w:r w:rsidRPr="00DD7218">
        <w:rPr>
          <w:rFonts w:ascii="Arial" w:hAnsi="Arial" w:cs="Arial"/>
          <w:sz w:val="24"/>
          <w:szCs w:val="24"/>
        </w:rPr>
        <w:t>demanda manifiesta que en el presente asunto se actualiza la causal de improcedencia prevista en el artículo 131 fracción II, de la ley de la materia, toda vez, que no existe acto administrativo en contra del administrado, ya que únicamente emitió un aviso previo de embargo, el cual se traduce en una carta invitación, y la misma no genera perjuicio ni obligación al actor.</w:t>
      </w:r>
    </w:p>
    <w:p w14:paraId="2E8CD817" w14:textId="77777777" w:rsidR="00EE3D9F" w:rsidRPr="00DD7218" w:rsidRDefault="00EE3D9F" w:rsidP="00EE3D9F">
      <w:pPr>
        <w:spacing w:line="360" w:lineRule="auto"/>
        <w:ind w:right="-93" w:firstLine="567"/>
        <w:jc w:val="both"/>
        <w:rPr>
          <w:rFonts w:ascii="Arial" w:hAnsi="Arial" w:cs="Arial"/>
          <w:sz w:val="24"/>
          <w:szCs w:val="24"/>
        </w:rPr>
      </w:pPr>
    </w:p>
    <w:p w14:paraId="6C4AAC4A" w14:textId="77777777" w:rsidR="00EE3D9F" w:rsidRPr="00DD7218" w:rsidRDefault="00AE1608" w:rsidP="00EE3D9F">
      <w:pPr>
        <w:spacing w:line="360" w:lineRule="auto"/>
        <w:ind w:right="-93" w:firstLine="567"/>
        <w:jc w:val="both"/>
        <w:rPr>
          <w:rFonts w:ascii="Arial" w:hAnsi="Arial" w:cs="Arial"/>
          <w:sz w:val="24"/>
          <w:szCs w:val="24"/>
        </w:rPr>
      </w:pPr>
      <w:r>
        <w:rPr>
          <w:rFonts w:ascii="Arial" w:hAnsi="Arial" w:cs="Arial"/>
          <w:sz w:val="24"/>
          <w:szCs w:val="24"/>
        </w:rPr>
        <w:t>Ahora, s</w:t>
      </w:r>
      <w:r w:rsidR="00EE3D9F" w:rsidRPr="00DD7218">
        <w:rPr>
          <w:rFonts w:ascii="Arial" w:hAnsi="Arial" w:cs="Arial"/>
          <w:sz w:val="24"/>
          <w:szCs w:val="24"/>
        </w:rPr>
        <w:t xml:space="preserve">e procede a realizar </w:t>
      </w:r>
      <w:r w:rsidR="00234206">
        <w:rPr>
          <w:rFonts w:ascii="Arial" w:hAnsi="Arial" w:cs="Arial"/>
          <w:sz w:val="24"/>
          <w:szCs w:val="24"/>
        </w:rPr>
        <w:t>el</w:t>
      </w:r>
      <w:r w:rsidR="00EE3D9F" w:rsidRPr="00DD7218">
        <w:rPr>
          <w:rFonts w:ascii="Arial" w:hAnsi="Arial" w:cs="Arial"/>
          <w:sz w:val="24"/>
          <w:szCs w:val="24"/>
        </w:rPr>
        <w:t xml:space="preserve"> estudio del aviso previo de embargo con número de control </w:t>
      </w:r>
      <w:r w:rsidR="001C4603">
        <w:rPr>
          <w:rFonts w:cs="Arial"/>
          <w:b/>
          <w:sz w:val="24"/>
          <w:szCs w:val="24"/>
        </w:rPr>
        <w:t>**********</w:t>
      </w:r>
      <w:r w:rsidR="00EE3D9F" w:rsidRPr="00DD7218">
        <w:rPr>
          <w:rFonts w:ascii="Arial" w:hAnsi="Arial" w:cs="Arial"/>
          <w:sz w:val="24"/>
          <w:szCs w:val="24"/>
        </w:rPr>
        <w:t xml:space="preserve">, de fecha uno de septiembre de dos mil diecisiete, del cual se advierte </w:t>
      </w:r>
      <w:r w:rsidR="00A74087">
        <w:rPr>
          <w:rFonts w:ascii="Arial" w:hAnsi="Arial" w:cs="Arial"/>
          <w:sz w:val="24"/>
          <w:szCs w:val="24"/>
        </w:rPr>
        <w:t>que se trata</w:t>
      </w:r>
      <w:r w:rsidR="00EE3D9F" w:rsidRPr="00DD7218">
        <w:rPr>
          <w:rFonts w:ascii="Arial" w:hAnsi="Arial" w:cs="Arial"/>
          <w:sz w:val="24"/>
          <w:szCs w:val="24"/>
        </w:rPr>
        <w:t xml:space="preserve"> </w:t>
      </w:r>
      <w:r w:rsidR="00A74087">
        <w:rPr>
          <w:rFonts w:ascii="Arial" w:hAnsi="Arial" w:cs="Arial"/>
          <w:sz w:val="24"/>
          <w:szCs w:val="24"/>
        </w:rPr>
        <w:t xml:space="preserve">de un </w:t>
      </w:r>
      <w:r w:rsidR="00EE3D9F" w:rsidRPr="00DD7218">
        <w:rPr>
          <w:rFonts w:ascii="Arial" w:hAnsi="Arial" w:cs="Arial"/>
          <w:sz w:val="24"/>
          <w:szCs w:val="24"/>
        </w:rPr>
        <w:t>aviso de carácter informativo, por lo que no se determina cantidad alguna a pagar, ni genera derechos</w:t>
      </w:r>
      <w:r w:rsidR="00234206">
        <w:rPr>
          <w:rFonts w:ascii="Arial" w:hAnsi="Arial" w:cs="Arial"/>
          <w:sz w:val="24"/>
          <w:szCs w:val="24"/>
        </w:rPr>
        <w:t>;</w:t>
      </w:r>
      <w:r w:rsidR="00EE3D9F" w:rsidRPr="00DD7218">
        <w:rPr>
          <w:rFonts w:ascii="Arial" w:hAnsi="Arial" w:cs="Arial"/>
          <w:sz w:val="24"/>
          <w:szCs w:val="24"/>
        </w:rPr>
        <w:t xml:space="preserve"> asimismo</w:t>
      </w:r>
      <w:r w:rsidR="00234206">
        <w:rPr>
          <w:rFonts w:ascii="Arial" w:hAnsi="Arial" w:cs="Arial"/>
          <w:sz w:val="24"/>
          <w:szCs w:val="24"/>
        </w:rPr>
        <w:t>,</w:t>
      </w:r>
      <w:r w:rsidR="00EE3D9F" w:rsidRPr="00DD7218">
        <w:rPr>
          <w:rFonts w:ascii="Arial" w:hAnsi="Arial" w:cs="Arial"/>
          <w:sz w:val="24"/>
          <w:szCs w:val="24"/>
        </w:rPr>
        <w:t xml:space="preserve"> invita al administrado a que efectúe de manera inmediata el pago de los adeudos en el impuesto sobre tenencia o uso de vehículos.  </w:t>
      </w:r>
    </w:p>
    <w:p w14:paraId="07C08D18" w14:textId="77777777" w:rsidR="00EE3D9F" w:rsidRPr="0059164E" w:rsidRDefault="00EE3D9F" w:rsidP="00EE3D9F">
      <w:pPr>
        <w:spacing w:line="360" w:lineRule="auto"/>
        <w:ind w:right="-93" w:firstLine="567"/>
        <w:jc w:val="both"/>
        <w:rPr>
          <w:rFonts w:ascii="Arial" w:hAnsi="Arial" w:cs="Arial"/>
          <w:sz w:val="18"/>
          <w:szCs w:val="24"/>
        </w:rPr>
      </w:pPr>
    </w:p>
    <w:p w14:paraId="00F18F17" w14:textId="77777777" w:rsidR="00EE3D9F" w:rsidRPr="00DD7218" w:rsidRDefault="00EE3D9F" w:rsidP="00EE3D9F">
      <w:pPr>
        <w:spacing w:line="360" w:lineRule="auto"/>
        <w:ind w:right="-93" w:firstLine="567"/>
        <w:jc w:val="both"/>
        <w:rPr>
          <w:rFonts w:ascii="Arial" w:hAnsi="Arial" w:cs="Arial"/>
          <w:sz w:val="24"/>
          <w:szCs w:val="24"/>
        </w:rPr>
      </w:pPr>
      <w:r w:rsidRPr="00DD7218">
        <w:rPr>
          <w:rFonts w:ascii="Arial" w:hAnsi="Arial" w:cs="Arial"/>
          <w:sz w:val="24"/>
          <w:szCs w:val="24"/>
        </w:rPr>
        <w:t xml:space="preserve"> No obstante lo anterior y como lo sostiene la autoridad demandada el aviso previo de embargo con número de control </w:t>
      </w:r>
      <w:r w:rsidR="001C4603">
        <w:rPr>
          <w:rFonts w:cs="Arial"/>
          <w:b/>
          <w:sz w:val="24"/>
          <w:szCs w:val="24"/>
        </w:rPr>
        <w:t>**********</w:t>
      </w:r>
      <w:r w:rsidRPr="00DD7218">
        <w:rPr>
          <w:rFonts w:ascii="Arial" w:hAnsi="Arial" w:cs="Arial"/>
          <w:sz w:val="24"/>
          <w:szCs w:val="24"/>
        </w:rPr>
        <w:t xml:space="preserve">, de fecha uno de septiembre de dos mil diecisiete, no le causa agravios al actor ya que el mismo no es más que una carta invitación, la cual no es impugnable, en este juicio contencioso administrativo, esto es así, en virtud de que no le causa perjuicio a </w:t>
      </w:r>
      <w:r w:rsidR="00234206">
        <w:rPr>
          <w:rFonts w:ascii="Arial" w:hAnsi="Arial" w:cs="Arial"/>
          <w:sz w:val="24"/>
          <w:szCs w:val="24"/>
        </w:rPr>
        <w:t>la</w:t>
      </w:r>
      <w:r w:rsidRPr="00DD7218">
        <w:rPr>
          <w:rFonts w:ascii="Arial" w:hAnsi="Arial" w:cs="Arial"/>
          <w:sz w:val="24"/>
          <w:szCs w:val="24"/>
        </w:rPr>
        <w:t xml:space="preserve"> esfera jurídica del actor.</w:t>
      </w:r>
    </w:p>
    <w:p w14:paraId="4E0B0FC4" w14:textId="77777777" w:rsidR="00EE3D9F" w:rsidRPr="0059164E" w:rsidRDefault="00EE3D9F" w:rsidP="00EE3D9F">
      <w:pPr>
        <w:spacing w:line="360" w:lineRule="auto"/>
        <w:ind w:right="-93" w:firstLine="567"/>
        <w:jc w:val="both"/>
        <w:rPr>
          <w:rFonts w:ascii="Arial" w:hAnsi="Arial" w:cs="Arial"/>
          <w:sz w:val="16"/>
          <w:szCs w:val="24"/>
        </w:rPr>
      </w:pPr>
    </w:p>
    <w:p w14:paraId="1968A4B4" w14:textId="77777777" w:rsidR="00EE3D9F" w:rsidRPr="00DD7218" w:rsidRDefault="00EE3D9F" w:rsidP="00EE3D9F">
      <w:pPr>
        <w:spacing w:line="360" w:lineRule="auto"/>
        <w:ind w:right="-93" w:firstLine="567"/>
        <w:jc w:val="both"/>
        <w:rPr>
          <w:rFonts w:ascii="Arial" w:hAnsi="Arial" w:cs="Arial"/>
          <w:sz w:val="24"/>
          <w:szCs w:val="24"/>
        </w:rPr>
      </w:pPr>
      <w:r w:rsidRPr="00DD7218">
        <w:rPr>
          <w:rFonts w:ascii="Arial" w:hAnsi="Arial" w:cs="Arial"/>
          <w:sz w:val="24"/>
          <w:szCs w:val="24"/>
        </w:rPr>
        <w:t xml:space="preserve">Sirve de apoyo a lo anterior la Jurisprudencia con número de registro 2002466, de la Décima Época, emitida por los Tribunales Colegiados de Circuito, </w:t>
      </w:r>
      <w:r w:rsidRPr="00DD7218">
        <w:rPr>
          <w:rFonts w:ascii="Arial" w:hAnsi="Arial" w:cs="Arial"/>
          <w:sz w:val="24"/>
          <w:szCs w:val="24"/>
        </w:rPr>
        <w:lastRenderedPageBreak/>
        <w:t>publicado en el Semanario Judicial de la Federación, Libro XVI, enero de 2013, Tomo 3, página 1773, con el texto siguiente:</w:t>
      </w:r>
    </w:p>
    <w:p w14:paraId="5E834BCE" w14:textId="77777777" w:rsidR="00EE3D9F" w:rsidRPr="00DD7218" w:rsidRDefault="00EE3D9F" w:rsidP="00EE3D9F">
      <w:pPr>
        <w:spacing w:line="360" w:lineRule="auto"/>
        <w:ind w:right="-93" w:firstLine="567"/>
        <w:jc w:val="both"/>
        <w:rPr>
          <w:rFonts w:ascii="Arial" w:hAnsi="Arial" w:cs="Arial"/>
          <w:sz w:val="24"/>
          <w:szCs w:val="24"/>
        </w:rPr>
      </w:pPr>
    </w:p>
    <w:p w14:paraId="6E000370" w14:textId="77777777" w:rsidR="00EE3D9F" w:rsidRPr="00DD7218" w:rsidRDefault="00EE3D9F" w:rsidP="00EE3D9F">
      <w:pPr>
        <w:widowControl/>
        <w:ind w:left="567" w:right="618"/>
        <w:jc w:val="both"/>
        <w:rPr>
          <w:rFonts w:ascii="Arial" w:hAnsi="Arial" w:cs="Arial"/>
          <w:b/>
          <w:bCs/>
          <w:i/>
          <w:color w:val="000000"/>
          <w:sz w:val="24"/>
          <w:szCs w:val="24"/>
          <w:lang w:val="es-MX" w:eastAsia="es-MX"/>
        </w:rPr>
      </w:pPr>
      <w:r w:rsidRPr="00DD7218">
        <w:rPr>
          <w:rFonts w:ascii="Arial" w:hAnsi="Arial" w:cs="Arial"/>
          <w:b/>
          <w:bCs/>
          <w:i/>
          <w:color w:val="000000"/>
          <w:sz w:val="24"/>
          <w:szCs w:val="24"/>
          <w:lang w:val="es-MX" w:eastAsia="es-MX"/>
        </w:rPr>
        <w:t>“CARTA INVITACIÓN. NO CONSTITUYE UNA RESOLUCIÓN DEFINITIVA IMPUGNABLE MEDIANTE EL JUICIO DE NULIDAD ANTE EL TRIBUNAL FEDERAL DE JUSTICIA FISCAL Y ADMINISTRATIVA.</w:t>
      </w:r>
    </w:p>
    <w:p w14:paraId="1190C538" w14:textId="77777777" w:rsidR="00EE3D9F" w:rsidRPr="00DD7218" w:rsidRDefault="00EE3D9F" w:rsidP="00EE3D9F">
      <w:pPr>
        <w:widowControl/>
        <w:ind w:left="567" w:right="618"/>
        <w:jc w:val="both"/>
        <w:rPr>
          <w:rFonts w:ascii="Arial" w:hAnsi="Arial" w:cs="Arial"/>
          <w:i/>
          <w:color w:val="000000"/>
          <w:sz w:val="24"/>
          <w:szCs w:val="24"/>
          <w:lang w:val="es-MX" w:eastAsia="es-MX"/>
        </w:rPr>
      </w:pPr>
      <w:r w:rsidRPr="00DD7218">
        <w:rPr>
          <w:rFonts w:ascii="Arial" w:hAnsi="Arial" w:cs="Arial"/>
          <w:i/>
          <w:color w:val="000000"/>
          <w:sz w:val="24"/>
          <w:szCs w:val="24"/>
          <w:lang w:val="es-MX" w:eastAsia="es-MX"/>
        </w:rPr>
        <w:t>La carta invitación al contribuyente para que acuda a las oficinas de la autoridad a regularizar su situación fiscal, no constituye una resolución definitiva impugnable mediante el juicio de nulidad ante el Tribunal Federal de Justicia Fiscal y Administrativa, pues a través de ella la autoridad exactora únicamente se limita a sugerirle al gobernado la corrección de su situación en su calidad de contribuyente, con la finalidad de evitar una resolución determinante de crédito con base en las irregularidades detectadas; luego, si en el documento impugnado no se determina un crédito fiscal ni se aplica sanción alguna, es inconcuso que no trasciende a la esfera jurídica del demandante ni le causa perjuicios para efectos de la procedencia del juicio de nulidad”.</w:t>
      </w:r>
    </w:p>
    <w:p w14:paraId="79EAAD9D" w14:textId="77777777" w:rsidR="00EE3D9F" w:rsidRPr="00DD7218" w:rsidRDefault="00EE3D9F" w:rsidP="00EE3D9F">
      <w:pPr>
        <w:spacing w:line="360" w:lineRule="auto"/>
        <w:ind w:right="-93" w:firstLine="567"/>
        <w:jc w:val="both"/>
        <w:rPr>
          <w:rFonts w:ascii="Arial" w:hAnsi="Arial" w:cs="Arial"/>
          <w:sz w:val="24"/>
          <w:szCs w:val="24"/>
        </w:rPr>
      </w:pPr>
    </w:p>
    <w:p w14:paraId="3B1349AF" w14:textId="77777777" w:rsidR="00EE3D9F" w:rsidRPr="0059164E" w:rsidRDefault="00EE3D9F" w:rsidP="00EE3D9F">
      <w:pPr>
        <w:spacing w:line="360" w:lineRule="auto"/>
        <w:ind w:right="-93" w:firstLine="567"/>
        <w:jc w:val="both"/>
        <w:rPr>
          <w:rFonts w:ascii="Arial" w:hAnsi="Arial" w:cs="Arial"/>
          <w:sz w:val="24"/>
          <w:szCs w:val="24"/>
        </w:rPr>
      </w:pPr>
      <w:r w:rsidRPr="0059164E">
        <w:rPr>
          <w:rFonts w:ascii="Arial" w:hAnsi="Arial" w:cs="Arial"/>
          <w:sz w:val="24"/>
          <w:szCs w:val="24"/>
        </w:rPr>
        <w:t xml:space="preserve">Asimismo, se advierte que en el encabezado del documento que se impugna tiene la leyenda de “AVISO PREVIO DE EMBARGO”, determinación que le no causa perjuicio al actor </w:t>
      </w:r>
      <w:r w:rsidR="001C4603">
        <w:rPr>
          <w:rFonts w:cs="Arial"/>
          <w:b/>
          <w:sz w:val="24"/>
          <w:szCs w:val="24"/>
        </w:rPr>
        <w:t>**********</w:t>
      </w:r>
      <w:r w:rsidRPr="0059164E">
        <w:rPr>
          <w:rFonts w:ascii="Arial" w:hAnsi="Arial" w:cs="Arial"/>
          <w:sz w:val="24"/>
          <w:szCs w:val="24"/>
        </w:rPr>
        <w:t>, en virtud de que el mismo es un acto futuro e incierto; sobre el cual no procede el juicio, al no ser un acto de molestia, ya que si se toma como apercibimiento el aviso previo de embargo, dicho acto tiene que ser emitido por la autoridad fiscal en el procedimiento administrativo de ejecución que inicie o haya iniciado. Procedimiento que puede ser impugnado si se encuentra dentro de la hipótesis prevista en el artículo 96 fracción VIII, inciso a),b),c) y d) de la Ley de la materia.</w:t>
      </w:r>
    </w:p>
    <w:p w14:paraId="6DFE9CE8" w14:textId="77777777" w:rsidR="00EE3D9F" w:rsidRPr="00DD7218" w:rsidRDefault="00EE3D9F" w:rsidP="00EE3D9F">
      <w:pPr>
        <w:spacing w:line="360" w:lineRule="auto"/>
        <w:ind w:right="-93" w:firstLine="567"/>
        <w:jc w:val="both"/>
        <w:rPr>
          <w:rFonts w:ascii="Arial" w:hAnsi="Arial" w:cs="Arial"/>
          <w:sz w:val="24"/>
          <w:szCs w:val="24"/>
        </w:rPr>
      </w:pPr>
    </w:p>
    <w:p w14:paraId="5BD6646B" w14:textId="77777777" w:rsidR="00EE3D9F" w:rsidRPr="00DD7218" w:rsidRDefault="00EE3D9F" w:rsidP="00EE3D9F">
      <w:pPr>
        <w:spacing w:line="360" w:lineRule="auto"/>
        <w:ind w:right="-93" w:firstLine="567"/>
        <w:jc w:val="both"/>
        <w:rPr>
          <w:rFonts w:ascii="Arial" w:hAnsi="Arial" w:cs="Arial"/>
          <w:sz w:val="24"/>
          <w:szCs w:val="24"/>
        </w:rPr>
      </w:pPr>
      <w:r w:rsidRPr="00DD7218">
        <w:rPr>
          <w:rFonts w:ascii="Arial" w:hAnsi="Arial" w:cs="Arial"/>
          <w:sz w:val="24"/>
          <w:szCs w:val="24"/>
        </w:rPr>
        <w:t>Resulta aplicable la Jurisprudencia con número de registro 2010813, de la Décima Época, publicada en el Semanario Judicial de la Federación, Libro 26, enero de 2016, Tomo III, página 2321, Materia común, con el texto siguiente:</w:t>
      </w:r>
    </w:p>
    <w:p w14:paraId="4AD74BB1" w14:textId="77777777" w:rsidR="00380FEF" w:rsidRPr="00DD7218" w:rsidRDefault="00380FEF" w:rsidP="00EE3D9F">
      <w:pPr>
        <w:spacing w:line="360" w:lineRule="auto"/>
        <w:ind w:right="-93" w:firstLine="567"/>
        <w:jc w:val="both"/>
        <w:rPr>
          <w:rFonts w:ascii="Arial" w:hAnsi="Arial" w:cs="Arial"/>
          <w:sz w:val="24"/>
          <w:szCs w:val="24"/>
        </w:rPr>
      </w:pPr>
    </w:p>
    <w:p w14:paraId="407F9194" w14:textId="77777777" w:rsidR="00EE3D9F" w:rsidRDefault="00EE3D9F" w:rsidP="00EE3D9F">
      <w:pPr>
        <w:widowControl/>
        <w:ind w:left="567" w:right="618"/>
        <w:jc w:val="both"/>
        <w:rPr>
          <w:rFonts w:ascii="Arial" w:hAnsi="Arial" w:cs="Arial"/>
          <w:b/>
          <w:bCs/>
          <w:i/>
          <w:color w:val="000000"/>
          <w:sz w:val="24"/>
          <w:szCs w:val="24"/>
          <w:lang w:val="es-MX" w:eastAsia="es-MX"/>
        </w:rPr>
      </w:pPr>
      <w:r w:rsidRPr="00DD7218">
        <w:rPr>
          <w:rFonts w:ascii="Arial" w:hAnsi="Arial" w:cs="Arial"/>
          <w:b/>
          <w:bCs/>
          <w:i/>
          <w:color w:val="000000"/>
          <w:sz w:val="24"/>
          <w:szCs w:val="24"/>
          <w:lang w:val="es-MX" w:eastAsia="es-MX"/>
        </w:rPr>
        <w:t>“MULTA. APERCIBIMIENTO DE. NO PRODUCE UNA AFECTACIÓN ACTUAL, REAL Y DIRECTA, POR SER UN ACTO FUTURO E INCIERTO, QUE ACTUALIZA UNA CAUSA MANIFIESTA E INDUDABLE DE IMPROCEDENCIA.</w:t>
      </w:r>
    </w:p>
    <w:p w14:paraId="7900B128" w14:textId="77777777" w:rsidR="0059164E" w:rsidRPr="00DD7218" w:rsidRDefault="0059164E" w:rsidP="00EE3D9F">
      <w:pPr>
        <w:widowControl/>
        <w:ind w:left="567" w:right="618"/>
        <w:jc w:val="both"/>
        <w:rPr>
          <w:rFonts w:ascii="Arial" w:hAnsi="Arial" w:cs="Arial"/>
          <w:b/>
          <w:bCs/>
          <w:i/>
          <w:color w:val="000000"/>
          <w:sz w:val="24"/>
          <w:szCs w:val="24"/>
          <w:lang w:val="es-MX" w:eastAsia="es-MX"/>
        </w:rPr>
      </w:pPr>
    </w:p>
    <w:p w14:paraId="2A9935EE" w14:textId="77777777" w:rsidR="00EE3D9F" w:rsidRPr="00DD7218" w:rsidRDefault="00EE3D9F" w:rsidP="00EE3D9F">
      <w:pPr>
        <w:widowControl/>
        <w:ind w:left="567" w:right="618"/>
        <w:jc w:val="both"/>
        <w:rPr>
          <w:rFonts w:ascii="Arial" w:hAnsi="Arial" w:cs="Arial"/>
          <w:i/>
          <w:color w:val="000000"/>
          <w:sz w:val="24"/>
          <w:szCs w:val="24"/>
          <w:lang w:val="es-MX" w:eastAsia="es-MX"/>
        </w:rPr>
      </w:pPr>
      <w:r w:rsidRPr="00DD7218">
        <w:rPr>
          <w:rFonts w:ascii="Arial" w:hAnsi="Arial" w:cs="Arial"/>
          <w:i/>
          <w:color w:val="000000"/>
          <w:sz w:val="24"/>
          <w:szCs w:val="24"/>
          <w:lang w:val="es-MX" w:eastAsia="es-MX"/>
        </w:rPr>
        <w:t>El apercibimiento de multa en caso de incumplimiento a lo ordenado por una Autoridad no produce una afectación actual, real y directa al impetrante, conforme al artículo </w:t>
      </w:r>
      <w:hyperlink r:id="rId8" w:history="1">
        <w:r w:rsidRPr="00DD7218">
          <w:rPr>
            <w:rFonts w:ascii="Arial" w:hAnsi="Arial" w:cs="Arial"/>
            <w:i/>
            <w:color w:val="0000FF"/>
            <w:sz w:val="24"/>
            <w:szCs w:val="24"/>
            <w:u w:val="single"/>
            <w:lang w:val="es-MX" w:eastAsia="es-MX"/>
          </w:rPr>
          <w:t>5o., fracción I, de la Ley de Amparo</w:t>
        </w:r>
      </w:hyperlink>
      <w:r w:rsidRPr="00DD7218">
        <w:rPr>
          <w:rFonts w:ascii="Arial" w:hAnsi="Arial" w:cs="Arial"/>
          <w:i/>
          <w:color w:val="000000"/>
          <w:sz w:val="24"/>
          <w:szCs w:val="24"/>
          <w:lang w:val="es-MX" w:eastAsia="es-MX"/>
        </w:rPr>
        <w:t>, vigente a partir del tres de abril de dos mil trece, ni constituye un acto de molestia, por ser futuro e incierto, en razón de que la imposición de multa no se decreta como consecuencia inmediata del apercibimiento, sino que está condicionada a que el obligado cumpla o no con la medida, así como de que la Autoridad decida llevar a cabo lo ordenado, por lo que no es inminente, al no existir certeza de que se va a ejecutar; lo cual actualiza la causa manifiesta e indudable de improcedencia prevista por el artículo </w:t>
      </w:r>
      <w:hyperlink r:id="rId9" w:history="1">
        <w:r w:rsidRPr="00DD7218">
          <w:rPr>
            <w:rFonts w:ascii="Arial" w:hAnsi="Arial" w:cs="Arial"/>
            <w:i/>
            <w:color w:val="0000FF"/>
            <w:sz w:val="24"/>
            <w:szCs w:val="24"/>
            <w:u w:val="single"/>
            <w:lang w:val="es-MX" w:eastAsia="es-MX"/>
          </w:rPr>
          <w:t>61, fracción XXIII</w:t>
        </w:r>
      </w:hyperlink>
      <w:r w:rsidRPr="00DD7218">
        <w:rPr>
          <w:rFonts w:ascii="Arial" w:hAnsi="Arial" w:cs="Arial"/>
          <w:i/>
          <w:color w:val="000000"/>
          <w:sz w:val="24"/>
          <w:szCs w:val="24"/>
          <w:lang w:val="es-MX" w:eastAsia="es-MX"/>
        </w:rPr>
        <w:t xml:space="preserve">, en relación con el numeral citado, pues basta el escrito de demanda para tener </w:t>
      </w:r>
      <w:r w:rsidRPr="00DD7218">
        <w:rPr>
          <w:rFonts w:ascii="Arial" w:hAnsi="Arial" w:cs="Arial"/>
          <w:i/>
          <w:color w:val="000000"/>
          <w:sz w:val="24"/>
          <w:szCs w:val="24"/>
          <w:lang w:val="es-MX" w:eastAsia="es-MX"/>
        </w:rPr>
        <w:lastRenderedPageBreak/>
        <w:t>conocimiento de cuál es el acto reclamado y advertir su naturaleza, por lo que, aun sustanciándose el procedimiento no sería posible arribar a una convicción diversa con los elementos que pudieran aportar las partes; lo que da lugar al desechamiento de la demanda con fundamento en el artículo </w:t>
      </w:r>
      <w:hyperlink r:id="rId10" w:history="1">
        <w:r w:rsidRPr="00DD7218">
          <w:rPr>
            <w:rFonts w:ascii="Arial" w:hAnsi="Arial" w:cs="Arial"/>
            <w:i/>
            <w:color w:val="0000FF"/>
            <w:sz w:val="24"/>
            <w:szCs w:val="24"/>
            <w:u w:val="single"/>
            <w:lang w:val="es-MX" w:eastAsia="es-MX"/>
          </w:rPr>
          <w:t>113</w:t>
        </w:r>
      </w:hyperlink>
      <w:r w:rsidRPr="00DD7218">
        <w:rPr>
          <w:rFonts w:ascii="Arial" w:hAnsi="Arial" w:cs="Arial"/>
          <w:i/>
          <w:color w:val="000000"/>
          <w:sz w:val="24"/>
          <w:szCs w:val="24"/>
          <w:lang w:val="es-MX" w:eastAsia="es-MX"/>
        </w:rPr>
        <w:t> de la misma ley”.</w:t>
      </w:r>
    </w:p>
    <w:p w14:paraId="52B6C29A" w14:textId="77777777" w:rsidR="00EE3D9F" w:rsidRPr="00DD7218" w:rsidRDefault="00EE3D9F" w:rsidP="00EE3D9F">
      <w:pPr>
        <w:widowControl/>
        <w:jc w:val="both"/>
        <w:rPr>
          <w:rFonts w:ascii="Arial" w:hAnsi="Arial" w:cs="Arial"/>
          <w:i/>
          <w:color w:val="000000"/>
          <w:sz w:val="24"/>
          <w:szCs w:val="24"/>
          <w:lang w:val="es-MX" w:eastAsia="es-MX"/>
        </w:rPr>
      </w:pPr>
    </w:p>
    <w:p w14:paraId="4854714D" w14:textId="77777777" w:rsidR="00EE3D9F" w:rsidRPr="00DD7218" w:rsidRDefault="00EE3D9F" w:rsidP="00EE3D9F">
      <w:pPr>
        <w:widowControl/>
        <w:jc w:val="both"/>
        <w:rPr>
          <w:rFonts w:ascii="Arial" w:hAnsi="Arial" w:cs="Arial"/>
          <w:i/>
          <w:color w:val="000000"/>
          <w:sz w:val="24"/>
          <w:szCs w:val="24"/>
          <w:lang w:val="es-MX" w:eastAsia="es-MX"/>
        </w:rPr>
      </w:pPr>
    </w:p>
    <w:p w14:paraId="6A8B6B44" w14:textId="77777777" w:rsidR="00EE3D9F" w:rsidRPr="0059164E" w:rsidRDefault="00EE3D9F" w:rsidP="00EE3D9F">
      <w:pPr>
        <w:widowControl/>
        <w:spacing w:line="360" w:lineRule="auto"/>
        <w:ind w:firstLine="567"/>
        <w:jc w:val="both"/>
        <w:rPr>
          <w:rFonts w:ascii="Arial" w:hAnsi="Arial" w:cs="Arial"/>
          <w:sz w:val="24"/>
          <w:szCs w:val="24"/>
        </w:rPr>
      </w:pPr>
      <w:r w:rsidRPr="0059164E">
        <w:rPr>
          <w:rFonts w:ascii="Arial" w:hAnsi="Arial" w:cs="Arial"/>
          <w:color w:val="000000"/>
          <w:sz w:val="24"/>
          <w:szCs w:val="24"/>
          <w:lang w:val="es-MX" w:eastAsia="es-MX"/>
        </w:rPr>
        <w:t xml:space="preserve">Como se expuso en los párrafos anteriores, en el presente caso </w:t>
      </w:r>
      <w:r w:rsidRPr="0059164E">
        <w:rPr>
          <w:rFonts w:ascii="Arial" w:hAnsi="Arial" w:cs="Arial"/>
          <w:sz w:val="24"/>
          <w:szCs w:val="24"/>
        </w:rPr>
        <w:t xml:space="preserve">el aviso previo de embargo con número de control </w:t>
      </w:r>
      <w:r w:rsidR="001C4603">
        <w:rPr>
          <w:rFonts w:cs="Arial"/>
          <w:b/>
          <w:sz w:val="24"/>
          <w:szCs w:val="24"/>
        </w:rPr>
        <w:t>**********</w:t>
      </w:r>
      <w:r w:rsidRPr="0059164E">
        <w:rPr>
          <w:rFonts w:ascii="Arial" w:hAnsi="Arial" w:cs="Arial"/>
          <w:sz w:val="24"/>
          <w:szCs w:val="24"/>
        </w:rPr>
        <w:t xml:space="preserve">, de fecha uno de septiembre de dos mil diecisiete, no le causa agravios al actor </w:t>
      </w:r>
      <w:r w:rsidR="001C4603">
        <w:rPr>
          <w:rFonts w:cs="Arial"/>
          <w:b/>
          <w:sz w:val="24"/>
          <w:szCs w:val="24"/>
        </w:rPr>
        <w:t>**********</w:t>
      </w:r>
      <w:r w:rsidRPr="0059164E">
        <w:rPr>
          <w:rFonts w:ascii="Arial" w:hAnsi="Arial" w:cs="Arial"/>
          <w:sz w:val="24"/>
          <w:szCs w:val="24"/>
        </w:rPr>
        <w:t xml:space="preserve">; por lo que se actualiza la causal de improcedencia prevista en el artículo 131 fracción II de la Ley de Justicia Administrativa del Estado y en consecuencia se </w:t>
      </w:r>
      <w:r w:rsidR="0059164E">
        <w:rPr>
          <w:rFonts w:ascii="Arial" w:hAnsi="Arial" w:cs="Arial"/>
          <w:sz w:val="24"/>
          <w:szCs w:val="24"/>
        </w:rPr>
        <w:t>SOBRESEE</w:t>
      </w:r>
      <w:r w:rsidR="001254EC" w:rsidRPr="0059164E">
        <w:rPr>
          <w:rFonts w:ascii="Arial" w:hAnsi="Arial" w:cs="Arial"/>
          <w:b/>
          <w:sz w:val="24"/>
          <w:szCs w:val="24"/>
        </w:rPr>
        <w:t xml:space="preserve">  </w:t>
      </w:r>
      <w:r w:rsidRPr="0059164E">
        <w:rPr>
          <w:rFonts w:ascii="Arial" w:hAnsi="Arial" w:cs="Arial"/>
          <w:sz w:val="24"/>
          <w:szCs w:val="24"/>
        </w:rPr>
        <w:t xml:space="preserve">y de la materia; por lo que al haberse decretado el sobreseimiento en el presente asunto, resulta inconducente pasar al estudio de fondo, circunstancia que deriva de una elemental lógica, pues ante ella se ha presentado una razón de mayor peso, como lo es una causal de improcedencia, que resulta preferente para su estudio y opera como una razón excluyente de todas aquéllas restantes que la llevarían a efectuar el estudio de la </w:t>
      </w:r>
      <w:proofErr w:type="spellStart"/>
      <w:r w:rsidRPr="0059164E">
        <w:rPr>
          <w:rFonts w:ascii="Arial" w:hAnsi="Arial" w:cs="Arial"/>
          <w:sz w:val="24"/>
          <w:szCs w:val="24"/>
        </w:rPr>
        <w:t>litis</w:t>
      </w:r>
      <w:proofErr w:type="spellEnd"/>
      <w:r w:rsidRPr="0059164E">
        <w:rPr>
          <w:rFonts w:ascii="Arial" w:hAnsi="Arial" w:cs="Arial"/>
          <w:sz w:val="24"/>
          <w:szCs w:val="24"/>
        </w:rPr>
        <w:t xml:space="preserve"> planteada, es decir, una vez encontrado el impedimento procesal para conocer de determinado asunto resulta ilógico analizar su fondo. </w:t>
      </w:r>
    </w:p>
    <w:p w14:paraId="019EF6CF" w14:textId="77777777" w:rsidR="00EE3D9F" w:rsidRPr="00DD7218" w:rsidRDefault="00EE3D9F" w:rsidP="00EE3D9F">
      <w:pPr>
        <w:widowControl/>
        <w:spacing w:line="360" w:lineRule="auto"/>
        <w:ind w:firstLine="567"/>
        <w:jc w:val="both"/>
        <w:rPr>
          <w:rFonts w:ascii="Arial" w:hAnsi="Arial" w:cs="Arial"/>
          <w:sz w:val="24"/>
          <w:szCs w:val="24"/>
        </w:rPr>
      </w:pPr>
    </w:p>
    <w:p w14:paraId="4A6F1447" w14:textId="77777777" w:rsidR="00EE3D9F" w:rsidRPr="00DD7218" w:rsidRDefault="00EE3D9F" w:rsidP="00EE3D9F">
      <w:pPr>
        <w:spacing w:line="360" w:lineRule="auto"/>
        <w:ind w:right="-93" w:firstLine="567"/>
        <w:jc w:val="both"/>
        <w:rPr>
          <w:rFonts w:ascii="Arial" w:hAnsi="Arial" w:cs="Arial"/>
          <w:sz w:val="24"/>
          <w:szCs w:val="24"/>
        </w:rPr>
      </w:pPr>
      <w:r w:rsidRPr="00DD7218">
        <w:rPr>
          <w:rFonts w:ascii="Arial" w:hAnsi="Arial" w:cs="Arial"/>
          <w:sz w:val="24"/>
          <w:szCs w:val="24"/>
        </w:rPr>
        <w:t>Sirve de apoyo a lo anterior la Jurisprudencia administrativa con número de registro 212468, de la Octava Época, emitida por los Tribunales Colegiados de Circuito, publicada en la Gaceta del Semanario Judicial de la Federación, número 77 mayo de 1994, Tomo 3, página 77, con el rubro y texto siguiente:</w:t>
      </w:r>
    </w:p>
    <w:p w14:paraId="2269C0A9" w14:textId="77777777" w:rsidR="00EE3D9F" w:rsidRPr="00DD7218" w:rsidRDefault="00EE3D9F" w:rsidP="00EE3D9F">
      <w:pPr>
        <w:widowControl/>
        <w:ind w:left="567" w:right="618"/>
        <w:jc w:val="both"/>
        <w:rPr>
          <w:rFonts w:ascii="Arial" w:hAnsi="Arial" w:cs="Arial"/>
          <w:b/>
          <w:bCs/>
          <w:i/>
          <w:color w:val="000000"/>
          <w:sz w:val="24"/>
          <w:szCs w:val="24"/>
          <w:lang w:val="es-MX" w:eastAsia="es-MX"/>
        </w:rPr>
      </w:pPr>
    </w:p>
    <w:p w14:paraId="4E10E2AB" w14:textId="77777777" w:rsidR="00EE3D9F" w:rsidRPr="00DD7218" w:rsidRDefault="00EE3D9F" w:rsidP="00EE3D9F">
      <w:pPr>
        <w:widowControl/>
        <w:ind w:left="567" w:right="618"/>
        <w:jc w:val="both"/>
        <w:rPr>
          <w:rFonts w:ascii="Arial" w:hAnsi="Arial" w:cs="Arial"/>
          <w:b/>
          <w:bCs/>
          <w:i/>
          <w:color w:val="000000"/>
          <w:sz w:val="24"/>
          <w:szCs w:val="24"/>
          <w:lang w:val="es-MX" w:eastAsia="es-MX"/>
        </w:rPr>
      </w:pPr>
      <w:r w:rsidRPr="00DD7218">
        <w:rPr>
          <w:rFonts w:ascii="Arial" w:hAnsi="Arial" w:cs="Arial"/>
          <w:b/>
          <w:bCs/>
          <w:i/>
          <w:color w:val="000000"/>
          <w:sz w:val="24"/>
          <w:szCs w:val="24"/>
          <w:lang w:val="es-MX" w:eastAsia="es-MX"/>
        </w:rPr>
        <w:t>“SOBRESEIMIENTO DEL JUICIO CONTENCIOSO-ADMINISTRATIVO, NO PERMITE ENTRAR AL ESTUDIO DE LAS CUESTIONES DE FONDO.</w:t>
      </w:r>
    </w:p>
    <w:p w14:paraId="78D49AB3" w14:textId="77777777" w:rsidR="00EE3D9F" w:rsidRPr="00DD7218" w:rsidRDefault="00EE3D9F" w:rsidP="00EE3D9F">
      <w:pPr>
        <w:widowControl/>
        <w:ind w:left="567" w:right="618"/>
        <w:jc w:val="both"/>
        <w:rPr>
          <w:rFonts w:ascii="Arial" w:hAnsi="Arial" w:cs="Arial"/>
          <w:i/>
          <w:color w:val="000000"/>
          <w:sz w:val="24"/>
          <w:szCs w:val="24"/>
          <w:lang w:val="es-MX" w:eastAsia="es-MX"/>
        </w:rPr>
      </w:pPr>
      <w:r w:rsidRPr="00DD7218">
        <w:rPr>
          <w:rFonts w:ascii="Arial" w:hAnsi="Arial" w:cs="Arial"/>
          <w:i/>
          <w:color w:val="000000"/>
          <w:sz w:val="24"/>
          <w:szCs w:val="24"/>
          <w:lang w:val="es-MX" w:eastAsia="es-MX"/>
        </w:rPr>
        <w:t>No causa agravio la sentencia que no se ocupa de los conceptos de anulación tendientes a demostrar las causales de nulidad de que adolece la resolución impugnada, que constituye el problema de fondo, si se declara el sobreseimiento del juicio contencioso-administrativo”.</w:t>
      </w:r>
    </w:p>
    <w:p w14:paraId="0F3FCA67" w14:textId="77777777" w:rsidR="00EE3D9F" w:rsidRPr="00DD7218" w:rsidRDefault="00EE3D9F" w:rsidP="00EE3D9F">
      <w:pPr>
        <w:widowControl/>
        <w:spacing w:line="360" w:lineRule="auto"/>
        <w:ind w:firstLine="567"/>
        <w:jc w:val="both"/>
        <w:rPr>
          <w:rFonts w:ascii="Arial" w:hAnsi="Arial" w:cs="Arial"/>
          <w:sz w:val="24"/>
          <w:szCs w:val="24"/>
        </w:rPr>
      </w:pPr>
    </w:p>
    <w:p w14:paraId="1D44912F" w14:textId="77777777" w:rsidR="00EE3D9F" w:rsidRPr="00DD7218" w:rsidRDefault="00EE3D9F" w:rsidP="00EE3D9F">
      <w:pPr>
        <w:spacing w:line="360" w:lineRule="auto"/>
        <w:ind w:firstLine="567"/>
        <w:jc w:val="both"/>
        <w:rPr>
          <w:rFonts w:ascii="Arial" w:hAnsi="Arial" w:cs="Arial"/>
          <w:sz w:val="24"/>
          <w:szCs w:val="24"/>
        </w:rPr>
      </w:pPr>
      <w:r w:rsidRPr="00DD7218">
        <w:rPr>
          <w:rFonts w:ascii="Arial" w:hAnsi="Arial" w:cs="Arial"/>
          <w:sz w:val="24"/>
          <w:szCs w:val="24"/>
        </w:rPr>
        <w:t xml:space="preserve">Por lo expuesto y con fundamento en los artículos 177, 131 párrafo II, 132 fracción II y 179 de la Ley de Justicia Administrativa para el Estado de Oaxaca se; </w:t>
      </w:r>
    </w:p>
    <w:p w14:paraId="6A8281A7" w14:textId="77777777" w:rsidR="00EE3D9F" w:rsidRPr="00DD7218" w:rsidRDefault="00EE3D9F" w:rsidP="00EE3D9F">
      <w:pPr>
        <w:spacing w:line="360" w:lineRule="auto"/>
        <w:ind w:firstLine="567"/>
        <w:jc w:val="both"/>
        <w:rPr>
          <w:rFonts w:ascii="Arial" w:hAnsi="Arial" w:cs="Arial"/>
          <w:sz w:val="24"/>
          <w:szCs w:val="24"/>
        </w:rPr>
      </w:pPr>
    </w:p>
    <w:p w14:paraId="2BB4CBBF" w14:textId="77777777" w:rsidR="00EE3D9F" w:rsidRPr="00DD7218" w:rsidRDefault="00EE3D9F" w:rsidP="00EE3D9F">
      <w:pPr>
        <w:spacing w:line="360" w:lineRule="auto"/>
        <w:ind w:firstLine="708"/>
        <w:jc w:val="center"/>
        <w:rPr>
          <w:rFonts w:ascii="Arial" w:hAnsi="Arial" w:cs="Arial"/>
          <w:b/>
          <w:sz w:val="24"/>
          <w:szCs w:val="24"/>
        </w:rPr>
      </w:pPr>
      <w:r w:rsidRPr="00DD7218">
        <w:rPr>
          <w:rFonts w:ascii="Arial" w:hAnsi="Arial" w:cs="Arial"/>
          <w:b/>
          <w:sz w:val="24"/>
          <w:szCs w:val="24"/>
        </w:rPr>
        <w:t>R E S U E L V E:</w:t>
      </w:r>
    </w:p>
    <w:p w14:paraId="51F91D53" w14:textId="77777777" w:rsidR="00DD7218" w:rsidRDefault="00DD7218" w:rsidP="00EE3D9F">
      <w:pPr>
        <w:pStyle w:val="Textoindependiente"/>
        <w:spacing w:line="360" w:lineRule="auto"/>
        <w:ind w:right="51" w:firstLine="708"/>
        <w:rPr>
          <w:rFonts w:ascii="Arial" w:hAnsi="Arial" w:cs="Arial"/>
          <w:b/>
          <w:sz w:val="24"/>
          <w:szCs w:val="24"/>
        </w:rPr>
      </w:pPr>
    </w:p>
    <w:p w14:paraId="5CE6E92B" w14:textId="77777777" w:rsidR="00EE3D9F" w:rsidRDefault="00EE3D9F" w:rsidP="00EE3D9F">
      <w:pPr>
        <w:pStyle w:val="Textoindependiente"/>
        <w:spacing w:line="360" w:lineRule="auto"/>
        <w:ind w:right="51" w:firstLine="708"/>
        <w:rPr>
          <w:rFonts w:ascii="Arial" w:hAnsi="Arial" w:cs="Arial"/>
          <w:sz w:val="24"/>
          <w:szCs w:val="24"/>
        </w:rPr>
      </w:pPr>
      <w:r w:rsidRPr="00DD7218">
        <w:rPr>
          <w:rFonts w:ascii="Arial" w:hAnsi="Arial" w:cs="Arial"/>
          <w:b/>
          <w:sz w:val="24"/>
          <w:szCs w:val="24"/>
        </w:rPr>
        <w:t>PRIMERO.-</w:t>
      </w:r>
      <w:r w:rsidRPr="00DD7218">
        <w:rPr>
          <w:rFonts w:ascii="Arial" w:hAnsi="Arial" w:cs="Arial"/>
          <w:sz w:val="24"/>
          <w:szCs w:val="24"/>
        </w:rPr>
        <w:t xml:space="preserve"> Esta Segunda</w:t>
      </w:r>
      <w:r w:rsidRPr="00DD7218">
        <w:rPr>
          <w:rFonts w:ascii="Arial" w:hAnsi="Arial" w:cs="Arial"/>
          <w:sz w:val="24"/>
          <w:szCs w:val="24"/>
          <w:lang w:val="es-MX"/>
        </w:rPr>
        <w:t xml:space="preserve"> </w:t>
      </w:r>
      <w:r w:rsidRPr="00DD7218">
        <w:rPr>
          <w:rFonts w:ascii="Arial" w:hAnsi="Arial" w:cs="Arial"/>
          <w:sz w:val="24"/>
          <w:szCs w:val="24"/>
        </w:rPr>
        <w:t>Sala</w:t>
      </w:r>
      <w:r w:rsidRPr="00DD7218">
        <w:rPr>
          <w:rFonts w:ascii="Arial" w:hAnsi="Arial" w:cs="Arial"/>
          <w:sz w:val="24"/>
          <w:szCs w:val="24"/>
          <w:lang w:val="es-MX"/>
        </w:rPr>
        <w:t xml:space="preserve"> Unitaria </w:t>
      </w:r>
      <w:r w:rsidRPr="00DD7218">
        <w:rPr>
          <w:rFonts w:ascii="Arial" w:hAnsi="Arial" w:cs="Arial"/>
          <w:sz w:val="24"/>
          <w:szCs w:val="24"/>
        </w:rPr>
        <w:t>del Tribunal de Justicia Administrativa del Estado de Oaxaca, es competente para conocer y resolver del presente asunto.</w:t>
      </w:r>
    </w:p>
    <w:p w14:paraId="218C05AB" w14:textId="77777777" w:rsidR="0059164E" w:rsidRPr="0059164E" w:rsidRDefault="0059164E" w:rsidP="00EE3D9F">
      <w:pPr>
        <w:pStyle w:val="Textoindependiente"/>
        <w:spacing w:line="360" w:lineRule="auto"/>
        <w:ind w:right="51" w:firstLine="708"/>
        <w:rPr>
          <w:rFonts w:ascii="Arial" w:hAnsi="Arial" w:cs="Arial"/>
          <w:sz w:val="2"/>
          <w:szCs w:val="24"/>
        </w:rPr>
      </w:pPr>
    </w:p>
    <w:p w14:paraId="13C22BF1" w14:textId="77777777" w:rsidR="00EE3D9F" w:rsidRPr="00DD7218" w:rsidRDefault="00EE3D9F" w:rsidP="00EE3D9F">
      <w:pPr>
        <w:pStyle w:val="Textoindependiente"/>
        <w:spacing w:line="360" w:lineRule="auto"/>
        <w:ind w:right="51" w:firstLine="708"/>
        <w:rPr>
          <w:rFonts w:ascii="Arial" w:eastAsia="Arial Unicode MS" w:hAnsi="Arial" w:cs="Arial"/>
          <w:kern w:val="1"/>
          <w:sz w:val="24"/>
          <w:szCs w:val="24"/>
          <w:lang w:eastAsia="ar-SA"/>
        </w:rPr>
      </w:pPr>
      <w:r w:rsidRPr="00DD7218">
        <w:rPr>
          <w:rFonts w:ascii="Arial" w:hAnsi="Arial" w:cs="Arial"/>
          <w:b/>
          <w:sz w:val="24"/>
          <w:szCs w:val="24"/>
        </w:rPr>
        <w:t>SEGUNDO.-</w:t>
      </w:r>
      <w:r w:rsidRPr="00DD7218">
        <w:rPr>
          <w:rFonts w:ascii="Arial" w:hAnsi="Arial" w:cs="Arial"/>
          <w:b/>
          <w:sz w:val="24"/>
          <w:szCs w:val="24"/>
          <w:lang w:val="es-MX"/>
        </w:rPr>
        <w:t xml:space="preserve"> </w:t>
      </w:r>
      <w:r w:rsidRPr="00DD7218">
        <w:rPr>
          <w:rFonts w:ascii="Arial" w:hAnsi="Arial" w:cs="Arial"/>
          <w:sz w:val="24"/>
          <w:szCs w:val="24"/>
          <w:lang w:val="es-MX"/>
        </w:rPr>
        <w:t>La personalidad de las partes</w:t>
      </w:r>
      <w:r w:rsidRPr="00DD7218">
        <w:rPr>
          <w:rFonts w:ascii="Arial" w:eastAsia="Arial Unicode MS" w:hAnsi="Arial" w:cs="Arial"/>
          <w:kern w:val="1"/>
          <w:sz w:val="24"/>
          <w:szCs w:val="24"/>
          <w:lang w:val="es-MX" w:eastAsia="ar-SA"/>
        </w:rPr>
        <w:t xml:space="preserve"> </w:t>
      </w:r>
      <w:r w:rsidRPr="00DD7218">
        <w:rPr>
          <w:rFonts w:ascii="Arial" w:eastAsia="Arial Unicode MS" w:hAnsi="Arial" w:cs="Arial"/>
          <w:kern w:val="1"/>
          <w:sz w:val="24"/>
          <w:szCs w:val="24"/>
          <w:lang w:eastAsia="ar-SA"/>
        </w:rPr>
        <w:t xml:space="preserve">quedó acreditada en autos del </w:t>
      </w:r>
      <w:r w:rsidRPr="00DD7218">
        <w:rPr>
          <w:rFonts w:ascii="Arial" w:eastAsia="Arial Unicode MS" w:hAnsi="Arial" w:cs="Arial"/>
          <w:kern w:val="1"/>
          <w:sz w:val="24"/>
          <w:szCs w:val="24"/>
          <w:lang w:eastAsia="ar-SA"/>
        </w:rPr>
        <w:lastRenderedPageBreak/>
        <w:t>presente expediente.</w:t>
      </w:r>
    </w:p>
    <w:p w14:paraId="1B1C8695" w14:textId="77777777" w:rsidR="00EE3D9F" w:rsidRPr="0059164E" w:rsidRDefault="00EE3D9F" w:rsidP="00EE3D9F">
      <w:pPr>
        <w:pStyle w:val="Textoindependiente"/>
        <w:spacing w:line="360" w:lineRule="auto"/>
        <w:ind w:right="51" w:firstLine="708"/>
        <w:rPr>
          <w:rFonts w:ascii="Arial" w:eastAsia="Arial Unicode MS" w:hAnsi="Arial" w:cs="Arial"/>
          <w:kern w:val="1"/>
          <w:sz w:val="2"/>
          <w:szCs w:val="24"/>
          <w:lang w:eastAsia="ar-SA"/>
        </w:rPr>
      </w:pPr>
    </w:p>
    <w:p w14:paraId="3063C74A" w14:textId="77777777" w:rsidR="00EE3D9F" w:rsidRPr="00DD7218" w:rsidRDefault="00EE3D9F" w:rsidP="00EE3D9F">
      <w:pPr>
        <w:spacing w:line="360" w:lineRule="auto"/>
        <w:ind w:firstLine="567"/>
        <w:jc w:val="both"/>
        <w:rPr>
          <w:rFonts w:ascii="Arial" w:hAnsi="Arial" w:cs="Arial"/>
          <w:sz w:val="24"/>
          <w:szCs w:val="24"/>
        </w:rPr>
      </w:pPr>
      <w:r w:rsidRPr="00DD7218">
        <w:rPr>
          <w:rFonts w:ascii="Arial" w:hAnsi="Arial" w:cs="Arial"/>
          <w:b/>
          <w:sz w:val="24"/>
          <w:szCs w:val="24"/>
        </w:rPr>
        <w:t>TERCERO</w:t>
      </w:r>
      <w:r w:rsidRPr="00DD7218">
        <w:rPr>
          <w:rFonts w:ascii="Arial" w:hAnsi="Arial" w:cs="Arial"/>
          <w:sz w:val="24"/>
          <w:szCs w:val="24"/>
        </w:rPr>
        <w:t xml:space="preserve">.- Por las razones expuestas en el considerando TERCERO se SOBRESEE el juicio. </w:t>
      </w:r>
    </w:p>
    <w:p w14:paraId="7EE12E75" w14:textId="77777777" w:rsidR="00EE3D9F" w:rsidRPr="0059164E" w:rsidRDefault="00EE3D9F" w:rsidP="00EE3D9F">
      <w:pPr>
        <w:spacing w:line="360" w:lineRule="auto"/>
        <w:ind w:firstLine="567"/>
        <w:jc w:val="both"/>
        <w:rPr>
          <w:rFonts w:ascii="Arial" w:hAnsi="Arial" w:cs="Arial"/>
          <w:szCs w:val="24"/>
        </w:rPr>
      </w:pPr>
    </w:p>
    <w:p w14:paraId="1FC030C6" w14:textId="77777777" w:rsidR="00EE3D9F" w:rsidRPr="00DD7218" w:rsidRDefault="00EE3D9F" w:rsidP="00EE3D9F">
      <w:pPr>
        <w:spacing w:line="360" w:lineRule="auto"/>
        <w:ind w:firstLine="708"/>
        <w:jc w:val="both"/>
        <w:rPr>
          <w:rFonts w:ascii="Arial" w:hAnsi="Arial" w:cs="Arial"/>
          <w:b/>
          <w:sz w:val="24"/>
          <w:szCs w:val="24"/>
        </w:rPr>
      </w:pPr>
      <w:r w:rsidRPr="00DD7218">
        <w:rPr>
          <w:rFonts w:ascii="Arial" w:hAnsi="Arial" w:cs="Arial"/>
          <w:sz w:val="24"/>
          <w:szCs w:val="24"/>
        </w:rPr>
        <w:t xml:space="preserve"> </w:t>
      </w:r>
      <w:r w:rsidRPr="00DD7218">
        <w:rPr>
          <w:rFonts w:ascii="Arial" w:hAnsi="Arial" w:cs="Arial"/>
          <w:b/>
          <w:sz w:val="24"/>
          <w:szCs w:val="24"/>
        </w:rPr>
        <w:t>CUARTO</w:t>
      </w:r>
      <w:r w:rsidRPr="00DD7218">
        <w:rPr>
          <w:rFonts w:ascii="Arial" w:hAnsi="Arial" w:cs="Arial"/>
          <w:sz w:val="24"/>
          <w:szCs w:val="24"/>
        </w:rPr>
        <w:t xml:space="preserve">.- </w:t>
      </w:r>
      <w:r w:rsidRPr="00DD7218">
        <w:rPr>
          <w:rFonts w:ascii="Arial" w:hAnsi="Arial" w:cs="Arial"/>
          <w:b/>
          <w:sz w:val="24"/>
          <w:szCs w:val="24"/>
        </w:rPr>
        <w:t xml:space="preserve">NOTIFIQUESE PERSONALMENTE AL ACTOR Y POR OFICIO A LA AUTORIDAD DEMANDADA.-CUMPLASE. </w:t>
      </w:r>
    </w:p>
    <w:p w14:paraId="2B1BCF8F" w14:textId="77777777" w:rsidR="00EE3D9F" w:rsidRPr="00DD7218" w:rsidRDefault="00EE3D9F" w:rsidP="00EE3D9F">
      <w:pPr>
        <w:spacing w:line="360" w:lineRule="auto"/>
        <w:ind w:right="51" w:firstLine="708"/>
        <w:jc w:val="both"/>
        <w:rPr>
          <w:rFonts w:ascii="Arial" w:hAnsi="Arial" w:cs="Arial"/>
          <w:sz w:val="24"/>
          <w:szCs w:val="24"/>
        </w:rPr>
      </w:pPr>
    </w:p>
    <w:p w14:paraId="64F65A31" w14:textId="77777777" w:rsidR="00EE3D9F" w:rsidRPr="00DD7218" w:rsidRDefault="00EE3D9F" w:rsidP="00EE3D9F">
      <w:pPr>
        <w:spacing w:line="360" w:lineRule="auto"/>
        <w:ind w:right="51" w:firstLine="567"/>
        <w:jc w:val="both"/>
        <w:rPr>
          <w:rFonts w:ascii="Arial" w:hAnsi="Arial" w:cs="Arial"/>
          <w:sz w:val="24"/>
          <w:szCs w:val="24"/>
        </w:rPr>
      </w:pPr>
      <w:r w:rsidRPr="00DD7218">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p>
    <w:p w14:paraId="59EF014F" w14:textId="77777777" w:rsidR="00EE3D9F" w:rsidRPr="00DD7218" w:rsidRDefault="00EE3D9F" w:rsidP="00EE3D9F">
      <w:pPr>
        <w:spacing w:line="360" w:lineRule="auto"/>
        <w:ind w:right="51" w:firstLine="567"/>
        <w:jc w:val="both"/>
        <w:rPr>
          <w:rFonts w:ascii="Arial" w:hAnsi="Arial" w:cs="Arial"/>
          <w:sz w:val="24"/>
          <w:szCs w:val="24"/>
        </w:rPr>
      </w:pPr>
    </w:p>
    <w:p w14:paraId="4112290A" w14:textId="77777777" w:rsidR="00EE3D9F" w:rsidRPr="00DD7218" w:rsidRDefault="00EE3D9F" w:rsidP="00EE3D9F">
      <w:pPr>
        <w:spacing w:line="360" w:lineRule="auto"/>
        <w:ind w:right="51" w:firstLine="567"/>
        <w:jc w:val="both"/>
        <w:rPr>
          <w:rFonts w:ascii="Arial" w:hAnsi="Arial" w:cs="Arial"/>
          <w:sz w:val="24"/>
          <w:szCs w:val="24"/>
        </w:rPr>
      </w:pPr>
    </w:p>
    <w:p w14:paraId="6861FD40" w14:textId="77777777" w:rsidR="00EE3D9F" w:rsidRPr="00F53CBB" w:rsidRDefault="00EE3D9F" w:rsidP="00EE3D9F">
      <w:pPr>
        <w:spacing w:line="360" w:lineRule="auto"/>
        <w:ind w:right="51" w:firstLine="567"/>
        <w:jc w:val="both"/>
        <w:rPr>
          <w:rFonts w:ascii="Arial" w:hAnsi="Arial" w:cs="Arial"/>
          <w:sz w:val="24"/>
          <w:szCs w:val="24"/>
        </w:rPr>
      </w:pPr>
      <w:bookmarkStart w:id="0" w:name="_GoBack"/>
      <w:bookmarkEnd w:id="0"/>
      <w:r w:rsidRPr="00F53CBB">
        <w:rPr>
          <w:rFonts w:ascii="Arial" w:hAnsi="Arial" w:cs="Arial"/>
          <w:sz w:val="24"/>
          <w:szCs w:val="24"/>
        </w:rPr>
        <w:t xml:space="preserve">                                                                                                                                                                                                                                                                                           </w:t>
      </w:r>
    </w:p>
    <w:p w14:paraId="123D815B" w14:textId="77777777" w:rsidR="00F447A1" w:rsidRPr="00ED7311" w:rsidRDefault="00F447A1" w:rsidP="00EE3D9F">
      <w:pPr>
        <w:spacing w:line="360" w:lineRule="auto"/>
        <w:ind w:right="-93" w:firstLine="567"/>
        <w:jc w:val="both"/>
        <w:rPr>
          <w:rFonts w:ascii="Arial" w:hAnsi="Arial" w:cs="Arial"/>
          <w:sz w:val="24"/>
          <w:szCs w:val="24"/>
        </w:rPr>
      </w:pPr>
    </w:p>
    <w:sectPr w:rsidR="00F447A1" w:rsidRPr="00ED7311" w:rsidSect="001C4603">
      <w:headerReference w:type="even" r:id="rId11"/>
      <w:headerReference w:type="default" r:id="rId12"/>
      <w:footerReference w:type="default" r:id="rId13"/>
      <w:headerReference w:type="first" r:id="rId14"/>
      <w:footerReference w:type="first" r:id="rId15"/>
      <w:endnotePr>
        <w:numFmt w:val="decimal"/>
      </w:endnotePr>
      <w:pgSz w:w="12242" w:h="20163" w:code="5"/>
      <w:pgMar w:top="1134" w:right="1134" w:bottom="2268" w:left="2268" w:header="284" w:footer="16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43347" w14:textId="77777777" w:rsidR="003878C4" w:rsidRDefault="003878C4" w:rsidP="00F6541A">
      <w:r>
        <w:separator/>
      </w:r>
    </w:p>
  </w:endnote>
  <w:endnote w:type="continuationSeparator" w:id="0">
    <w:p w14:paraId="265B9E00" w14:textId="77777777" w:rsidR="003878C4" w:rsidRDefault="003878C4"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1B0C" w14:textId="77777777" w:rsidR="00F447A1" w:rsidRPr="008B1236" w:rsidRDefault="00F447A1">
    <w:pPr>
      <w:pStyle w:val="Piedepgina"/>
      <w:jc w:val="center"/>
      <w:rPr>
        <w:rFonts w:ascii="Arial" w:hAnsi="Arial" w:cs="Arial"/>
        <w:caps/>
        <w:sz w:val="24"/>
        <w:szCs w:val="24"/>
      </w:rPr>
    </w:pPr>
    <w:r w:rsidRPr="008B1236">
      <w:rPr>
        <w:rFonts w:ascii="Arial" w:hAnsi="Arial" w:cs="Arial"/>
        <w:caps/>
        <w:sz w:val="24"/>
        <w:szCs w:val="24"/>
      </w:rPr>
      <w:fldChar w:fldCharType="begin"/>
    </w:r>
    <w:r w:rsidRPr="008B1236">
      <w:rPr>
        <w:rFonts w:ascii="Arial" w:hAnsi="Arial" w:cs="Arial"/>
        <w:caps/>
        <w:sz w:val="24"/>
        <w:szCs w:val="24"/>
      </w:rPr>
      <w:instrText>PAGE   \* MERGEFORMAT</w:instrText>
    </w:r>
    <w:r w:rsidRPr="008B1236">
      <w:rPr>
        <w:rFonts w:ascii="Arial" w:hAnsi="Arial" w:cs="Arial"/>
        <w:caps/>
        <w:sz w:val="24"/>
        <w:szCs w:val="24"/>
      </w:rPr>
      <w:fldChar w:fldCharType="separate"/>
    </w:r>
    <w:r w:rsidR="00672DB5">
      <w:rPr>
        <w:rFonts w:ascii="Arial" w:hAnsi="Arial" w:cs="Arial"/>
        <w:caps/>
        <w:noProof/>
        <w:sz w:val="24"/>
        <w:szCs w:val="24"/>
      </w:rPr>
      <w:t>5</w:t>
    </w:r>
    <w:r w:rsidRPr="008B1236">
      <w:rPr>
        <w:rFonts w:ascii="Arial" w:hAnsi="Arial" w:cs="Arial"/>
        <w:caps/>
        <w:sz w:val="24"/>
        <w:szCs w:val="24"/>
      </w:rPr>
      <w:fldChar w:fldCharType="end"/>
    </w:r>
  </w:p>
  <w:p w14:paraId="0639890F" w14:textId="77777777" w:rsidR="00F447A1" w:rsidRDefault="00F447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731F" w14:textId="77777777" w:rsidR="00F447A1" w:rsidRDefault="00F447A1">
    <w:pPr>
      <w:pStyle w:val="Piedepgina"/>
      <w:jc w:val="center"/>
    </w:pPr>
  </w:p>
  <w:p w14:paraId="60242B6D" w14:textId="77777777" w:rsidR="00F447A1" w:rsidRDefault="00F447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83242" w14:textId="77777777" w:rsidR="003878C4" w:rsidRDefault="003878C4" w:rsidP="00F6541A">
      <w:r>
        <w:separator/>
      </w:r>
    </w:p>
  </w:footnote>
  <w:footnote w:type="continuationSeparator" w:id="0">
    <w:p w14:paraId="34EB204D" w14:textId="77777777" w:rsidR="003878C4" w:rsidRDefault="003878C4"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8305" w14:textId="77777777" w:rsidR="00F447A1" w:rsidRDefault="00F447A1" w:rsidP="00F447A1">
    <w:pPr>
      <w:pStyle w:val="Encabezado"/>
      <w:widowControl/>
      <w:tabs>
        <w:tab w:val="clear" w:pos="4252"/>
        <w:tab w:val="clear" w:pos="8504"/>
      </w:tabs>
      <w:jc w:val="center"/>
      <w:rPr>
        <w:rStyle w:val="Nmerodepgina"/>
        <w:rFonts w:ascii="Arial" w:hAnsi="Arial" w:cs="Arial"/>
        <w:bCs/>
        <w:sz w:val="24"/>
        <w:szCs w:val="22"/>
      </w:rPr>
    </w:pPr>
  </w:p>
  <w:p w14:paraId="4013427D" w14:textId="77777777" w:rsidR="00F447A1" w:rsidRDefault="00F447A1">
    <w:pPr>
      <w:pStyle w:val="Encabezado"/>
      <w:widowControl/>
      <w:tabs>
        <w:tab w:val="clear" w:pos="4252"/>
        <w:tab w:val="clear" w:pos="8504"/>
      </w:tabs>
      <w:jc w:val="center"/>
      <w:rPr>
        <w:rStyle w:val="Nmerodepgina"/>
        <w:rFonts w:ascii="Arial" w:hAnsi="Arial" w:cs="Arial"/>
        <w:bCs/>
        <w:sz w:val="24"/>
        <w:szCs w:val="22"/>
      </w:rPr>
    </w:pPr>
  </w:p>
  <w:p w14:paraId="3DEA9000" w14:textId="77777777" w:rsidR="00F447A1" w:rsidRDefault="00F447A1">
    <w:pPr>
      <w:pStyle w:val="Encabezado"/>
      <w:widowControl/>
      <w:tabs>
        <w:tab w:val="clear" w:pos="4252"/>
        <w:tab w:val="clear" w:pos="8504"/>
      </w:tabs>
      <w:jc w:val="center"/>
      <w:rPr>
        <w:rStyle w:val="Nmerodepgina"/>
        <w:rFonts w:ascii="Arial" w:hAnsi="Arial" w:cs="Arial"/>
        <w:bCs/>
        <w:sz w:val="24"/>
        <w:szCs w:val="22"/>
      </w:rPr>
    </w:pPr>
  </w:p>
  <w:p w14:paraId="6AA31AA0" w14:textId="77777777" w:rsidR="00F447A1" w:rsidRDefault="00F447A1">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29E0" w14:textId="77777777" w:rsidR="00F447A1" w:rsidRDefault="00F447A1" w:rsidP="00F447A1">
    <w:pPr>
      <w:pStyle w:val="Encabezado"/>
      <w:jc w:val="center"/>
      <w:rPr>
        <w:rStyle w:val="Nmerodepgina"/>
        <w:b/>
      </w:rPr>
    </w:pPr>
    <w:r>
      <w:rPr>
        <w:rStyle w:val="Nmerodepgina"/>
        <w:sz w:val="24"/>
        <w:szCs w:val="24"/>
      </w:rPr>
      <w:t xml:space="preserve">                                                                                               </w:t>
    </w:r>
  </w:p>
  <w:p w14:paraId="56BE6BA3" w14:textId="77777777" w:rsidR="00F447A1" w:rsidRDefault="00F447A1" w:rsidP="00F447A1">
    <w:pPr>
      <w:pStyle w:val="Encabezado"/>
      <w:jc w:val="center"/>
      <w:rPr>
        <w:rStyle w:val="Nmerodepgina"/>
        <w:b/>
      </w:rPr>
    </w:pPr>
  </w:p>
  <w:p w14:paraId="62343064" w14:textId="77777777" w:rsidR="00F447A1" w:rsidRDefault="00F447A1" w:rsidP="00F6541A">
    <w:pPr>
      <w:pStyle w:val="Encabezado"/>
      <w:rPr>
        <w:rStyle w:val="Nmerodepgina"/>
        <w:sz w:val="24"/>
        <w:szCs w:val="24"/>
      </w:rPr>
    </w:pPr>
  </w:p>
  <w:p w14:paraId="073166EA" w14:textId="77777777" w:rsidR="00F447A1" w:rsidRDefault="00F447A1" w:rsidP="00F447A1">
    <w:pPr>
      <w:pStyle w:val="Encabezado"/>
      <w:jc w:val="center"/>
      <w:rPr>
        <w:rStyle w:val="Nmerodepgina"/>
        <w:sz w:val="24"/>
        <w:szCs w:val="24"/>
      </w:rPr>
    </w:pPr>
  </w:p>
  <w:p w14:paraId="0D45D8C8" w14:textId="77777777" w:rsidR="00F447A1" w:rsidRPr="00793DB6" w:rsidRDefault="001C4603" w:rsidP="00F447A1">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1312" behindDoc="0" locked="0" layoutInCell="1" allowOverlap="1" wp14:anchorId="76F561EC" wp14:editId="3EBA8090">
              <wp:simplePos x="0" y="0"/>
              <wp:positionH relativeFrom="column">
                <wp:posOffset>-1257300</wp:posOffset>
              </wp:positionH>
              <wp:positionV relativeFrom="paragraph">
                <wp:posOffset>4469130</wp:posOffset>
              </wp:positionV>
              <wp:extent cx="1163955" cy="1122680"/>
              <wp:effectExtent l="0" t="0" r="2984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549E7CC6"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Datos</w:t>
                          </w:r>
                        </w:p>
                        <w:p w14:paraId="5F259570"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personales</w:t>
                          </w:r>
                        </w:p>
                        <w:p w14:paraId="3FE2DDE7"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7D67B630"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116</w:t>
                          </w:r>
                        </w:p>
                        <w:p w14:paraId="0EC55663"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de la LGTAIP y</w:t>
                          </w:r>
                        </w:p>
                        <w:p w14:paraId="438FCCB0"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56</w:t>
                          </w:r>
                        </w:p>
                        <w:p w14:paraId="7EAC42AB" w14:textId="77777777" w:rsidR="001C4603" w:rsidRDefault="001C4603" w:rsidP="001C4603">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561EC" id="_x0000_t202" coordsize="21600,21600" o:spt="202" path="m,l,21600r21600,l21600,xe">
              <v:stroke joinstyle="miter"/>
              <v:path gradientshapeok="t" o:connecttype="rect"/>
            </v:shapetype>
            <v:shape id="Cuadro de texto 2" o:spid="_x0000_s1026" type="#_x0000_t202" style="position:absolute;left:0;text-align:left;margin-left:-99pt;margin-top:351.9pt;width:91.65pt;height:88.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">
              <v:textbox style="mso-fit-shape-to-text:t">
                <w:txbxContent>
                  <w:p w14:paraId="549E7CC6"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Datos</w:t>
                    </w:r>
                  </w:p>
                  <w:p w14:paraId="5F259570"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personales</w:t>
                    </w:r>
                  </w:p>
                  <w:p w14:paraId="3FE2DDE7"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7D67B630"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116</w:t>
                    </w:r>
                  </w:p>
                  <w:p w14:paraId="0EC55663"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de la LGTAIP y</w:t>
                    </w:r>
                  </w:p>
                  <w:p w14:paraId="438FCCB0"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56</w:t>
                    </w:r>
                  </w:p>
                  <w:p w14:paraId="7EAC42AB" w14:textId="77777777" w:rsidR="001C4603" w:rsidRDefault="001C4603" w:rsidP="001C4603">
                    <w:r>
                      <w:rPr>
                        <w:rFonts w:ascii="Arial" w:hAnsi="Arial" w:cs="Arial"/>
                        <w:b/>
                        <w:bCs/>
                        <w:color w:val="000000"/>
                      </w:rPr>
                      <w:t>de la LTAIPEO.</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D5F1" w14:textId="77777777" w:rsidR="001C4603" w:rsidRDefault="001C4603">
    <w:pPr>
      <w:pStyle w:val="Encabezado"/>
    </w:pPr>
    <w:r w:rsidRPr="00FA5B0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13E2E876" wp14:editId="02FCA9AC">
              <wp:simplePos x="0" y="0"/>
              <wp:positionH relativeFrom="column">
                <wp:posOffset>-1327150</wp:posOffset>
              </wp:positionH>
              <wp:positionV relativeFrom="paragraph">
                <wp:posOffset>4997450</wp:posOffset>
              </wp:positionV>
              <wp:extent cx="1163955" cy="1122680"/>
              <wp:effectExtent l="0" t="0" r="29845" b="2032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alpha val="0"/>
                        </a:srgbClr>
                      </a:solidFill>
                      <a:ln w="9525">
                        <a:solidFill>
                          <a:srgbClr val="000000"/>
                        </a:solidFill>
                        <a:miter lim="800000"/>
                        <a:headEnd/>
                        <a:tailEnd/>
                      </a:ln>
                    </wps:spPr>
                    <wps:txbx>
                      <w:txbxContent>
                        <w:p w14:paraId="330A9480"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Datos</w:t>
                          </w:r>
                        </w:p>
                        <w:p w14:paraId="37EFAE85"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personales</w:t>
                          </w:r>
                        </w:p>
                        <w:p w14:paraId="0106EAC1"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016897B4"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116</w:t>
                          </w:r>
                        </w:p>
                        <w:p w14:paraId="2490809A"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de la LGTAIP y</w:t>
                          </w:r>
                        </w:p>
                        <w:p w14:paraId="56A2595D"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56</w:t>
                          </w:r>
                        </w:p>
                        <w:p w14:paraId="2D4B25EE" w14:textId="77777777" w:rsidR="001C4603" w:rsidRDefault="001C4603" w:rsidP="001C4603">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2E876" id="_x0000_t202" coordsize="21600,21600" o:spt="202" path="m,l,21600r21600,l21600,xe">
              <v:stroke joinstyle="miter"/>
              <v:path gradientshapeok="t" o:connecttype="rect"/>
            </v:shapetype>
            <v:shape id="_x0000_s1027" type="#_x0000_t202" style="position:absolute;margin-left:-104.5pt;margin-top:393.5pt;width:91.65pt;height:8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">
              <v:fill opacity="0"/>
              <v:textbox style="mso-fit-shape-to-text:t">
                <w:txbxContent>
                  <w:p w14:paraId="330A9480"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Datos</w:t>
                    </w:r>
                  </w:p>
                  <w:p w14:paraId="37EFAE85" w14:textId="77777777" w:rsidR="001C4603" w:rsidRDefault="001C4603" w:rsidP="001C4603">
                    <w:pPr>
                      <w:autoSpaceDE w:val="0"/>
                      <w:autoSpaceDN w:val="0"/>
                      <w:adjustRightInd w:val="0"/>
                      <w:rPr>
                        <w:rFonts w:ascii="Arial" w:hAnsi="Arial" w:cs="Arial"/>
                        <w:b/>
                        <w:bCs/>
                        <w:color w:val="00B1F1"/>
                      </w:rPr>
                    </w:pPr>
                    <w:r>
                      <w:rPr>
                        <w:rFonts w:ascii="Arial" w:hAnsi="Arial" w:cs="Arial"/>
                        <w:b/>
                        <w:bCs/>
                        <w:color w:val="00B1F1"/>
                      </w:rPr>
                      <w:t>personales</w:t>
                    </w:r>
                  </w:p>
                  <w:p w14:paraId="0106EAC1"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016897B4"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116</w:t>
                    </w:r>
                  </w:p>
                  <w:p w14:paraId="2490809A"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de la LGTAIP y</w:t>
                    </w:r>
                  </w:p>
                  <w:p w14:paraId="56A2595D" w14:textId="77777777" w:rsidR="001C4603" w:rsidRDefault="001C4603" w:rsidP="001C4603">
                    <w:pPr>
                      <w:autoSpaceDE w:val="0"/>
                      <w:autoSpaceDN w:val="0"/>
                      <w:adjustRightInd w:val="0"/>
                      <w:rPr>
                        <w:rFonts w:ascii="Arial" w:hAnsi="Arial" w:cs="Arial"/>
                        <w:b/>
                        <w:bCs/>
                        <w:color w:val="000000"/>
                      </w:rPr>
                    </w:pPr>
                    <w:r>
                      <w:rPr>
                        <w:rFonts w:ascii="Arial" w:hAnsi="Arial" w:cs="Arial"/>
                        <w:b/>
                        <w:bCs/>
                        <w:color w:val="000000"/>
                      </w:rPr>
                      <w:t>el artículo 56</w:t>
                    </w:r>
                  </w:p>
                  <w:p w14:paraId="2D4B25EE" w14:textId="77777777" w:rsidR="001C4603" w:rsidRDefault="001C4603" w:rsidP="001C4603">
                    <w:r>
                      <w:rPr>
                        <w:rFonts w:ascii="Arial" w:hAnsi="Arial" w:cs="Arial"/>
                        <w:b/>
                        <w:bCs/>
                        <w:color w:val="000000"/>
                      </w:rPr>
                      <w:t>de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40FA4"/>
    <w:rsid w:val="00043B0F"/>
    <w:rsid w:val="00080D92"/>
    <w:rsid w:val="000856E7"/>
    <w:rsid w:val="000A1E17"/>
    <w:rsid w:val="000A7964"/>
    <w:rsid w:val="000D2E56"/>
    <w:rsid w:val="001155BE"/>
    <w:rsid w:val="00121C0C"/>
    <w:rsid w:val="001254EC"/>
    <w:rsid w:val="00130A2A"/>
    <w:rsid w:val="00135D85"/>
    <w:rsid w:val="00180C6F"/>
    <w:rsid w:val="001B50F4"/>
    <w:rsid w:val="001B6F57"/>
    <w:rsid w:val="001C4603"/>
    <w:rsid w:val="001E2A20"/>
    <w:rsid w:val="001F31C1"/>
    <w:rsid w:val="00204F3F"/>
    <w:rsid w:val="00207FA9"/>
    <w:rsid w:val="002150EB"/>
    <w:rsid w:val="002173AD"/>
    <w:rsid w:val="00234206"/>
    <w:rsid w:val="002476F2"/>
    <w:rsid w:val="0025351F"/>
    <w:rsid w:val="00265B8F"/>
    <w:rsid w:val="00283C07"/>
    <w:rsid w:val="002A24B0"/>
    <w:rsid w:val="002A5F22"/>
    <w:rsid w:val="002B3117"/>
    <w:rsid w:val="002C0F3C"/>
    <w:rsid w:val="00327E22"/>
    <w:rsid w:val="00331CAF"/>
    <w:rsid w:val="003361D5"/>
    <w:rsid w:val="00354D0E"/>
    <w:rsid w:val="00374224"/>
    <w:rsid w:val="00380FEF"/>
    <w:rsid w:val="003878C4"/>
    <w:rsid w:val="003B09AF"/>
    <w:rsid w:val="003C01B9"/>
    <w:rsid w:val="003C4E1D"/>
    <w:rsid w:val="003F288E"/>
    <w:rsid w:val="003F64EF"/>
    <w:rsid w:val="00412A92"/>
    <w:rsid w:val="00435D1C"/>
    <w:rsid w:val="00444817"/>
    <w:rsid w:val="00460C28"/>
    <w:rsid w:val="004651BB"/>
    <w:rsid w:val="00470AAB"/>
    <w:rsid w:val="0049142C"/>
    <w:rsid w:val="004A13EC"/>
    <w:rsid w:val="004A58A1"/>
    <w:rsid w:val="004F74AC"/>
    <w:rsid w:val="00504695"/>
    <w:rsid w:val="005213F2"/>
    <w:rsid w:val="00525A5F"/>
    <w:rsid w:val="00543429"/>
    <w:rsid w:val="00544385"/>
    <w:rsid w:val="005664DC"/>
    <w:rsid w:val="0059164E"/>
    <w:rsid w:val="00595E46"/>
    <w:rsid w:val="005A0BEE"/>
    <w:rsid w:val="005D2920"/>
    <w:rsid w:val="005D6C1E"/>
    <w:rsid w:val="005F3D84"/>
    <w:rsid w:val="006255D0"/>
    <w:rsid w:val="00631CA6"/>
    <w:rsid w:val="00655724"/>
    <w:rsid w:val="00672DB5"/>
    <w:rsid w:val="006C1F68"/>
    <w:rsid w:val="006E7D64"/>
    <w:rsid w:val="00707978"/>
    <w:rsid w:val="00762A6F"/>
    <w:rsid w:val="007704AB"/>
    <w:rsid w:val="007754C3"/>
    <w:rsid w:val="00780456"/>
    <w:rsid w:val="007A2E16"/>
    <w:rsid w:val="007C334A"/>
    <w:rsid w:val="007F443B"/>
    <w:rsid w:val="007F71BC"/>
    <w:rsid w:val="0082314D"/>
    <w:rsid w:val="0082521E"/>
    <w:rsid w:val="008642DB"/>
    <w:rsid w:val="00874C59"/>
    <w:rsid w:val="008B1236"/>
    <w:rsid w:val="008B48B1"/>
    <w:rsid w:val="008D52CB"/>
    <w:rsid w:val="008F5A9A"/>
    <w:rsid w:val="00907858"/>
    <w:rsid w:val="00910890"/>
    <w:rsid w:val="00912BC2"/>
    <w:rsid w:val="0096217B"/>
    <w:rsid w:val="0096229E"/>
    <w:rsid w:val="00977BFA"/>
    <w:rsid w:val="00994A17"/>
    <w:rsid w:val="009D29B1"/>
    <w:rsid w:val="009D3040"/>
    <w:rsid w:val="009D603A"/>
    <w:rsid w:val="009E4C37"/>
    <w:rsid w:val="00A62E0C"/>
    <w:rsid w:val="00A63982"/>
    <w:rsid w:val="00A74087"/>
    <w:rsid w:val="00A85CDE"/>
    <w:rsid w:val="00AA1BF1"/>
    <w:rsid w:val="00AB11A6"/>
    <w:rsid w:val="00AB4B3B"/>
    <w:rsid w:val="00AB7D40"/>
    <w:rsid w:val="00AE1608"/>
    <w:rsid w:val="00AE27BB"/>
    <w:rsid w:val="00AE3A50"/>
    <w:rsid w:val="00B7275B"/>
    <w:rsid w:val="00B77138"/>
    <w:rsid w:val="00B84E17"/>
    <w:rsid w:val="00B928DE"/>
    <w:rsid w:val="00BB30E7"/>
    <w:rsid w:val="00BC6186"/>
    <w:rsid w:val="00BD2FF0"/>
    <w:rsid w:val="00BF16A3"/>
    <w:rsid w:val="00C03842"/>
    <w:rsid w:val="00C1196B"/>
    <w:rsid w:val="00C23AF6"/>
    <w:rsid w:val="00C26B2A"/>
    <w:rsid w:val="00C3175E"/>
    <w:rsid w:val="00C354D7"/>
    <w:rsid w:val="00C61DF1"/>
    <w:rsid w:val="00C85893"/>
    <w:rsid w:val="00C976E6"/>
    <w:rsid w:val="00CD362A"/>
    <w:rsid w:val="00CE727A"/>
    <w:rsid w:val="00CF52E3"/>
    <w:rsid w:val="00D17855"/>
    <w:rsid w:val="00D433FB"/>
    <w:rsid w:val="00D565B7"/>
    <w:rsid w:val="00D84E5B"/>
    <w:rsid w:val="00DA2C70"/>
    <w:rsid w:val="00DC44B9"/>
    <w:rsid w:val="00DD7218"/>
    <w:rsid w:val="00DD74DC"/>
    <w:rsid w:val="00DF0463"/>
    <w:rsid w:val="00E0272F"/>
    <w:rsid w:val="00E24638"/>
    <w:rsid w:val="00E46238"/>
    <w:rsid w:val="00E5054F"/>
    <w:rsid w:val="00E65622"/>
    <w:rsid w:val="00E66DB8"/>
    <w:rsid w:val="00E94632"/>
    <w:rsid w:val="00ED7311"/>
    <w:rsid w:val="00EE3D9F"/>
    <w:rsid w:val="00F15007"/>
    <w:rsid w:val="00F323C9"/>
    <w:rsid w:val="00F42369"/>
    <w:rsid w:val="00F4341B"/>
    <w:rsid w:val="00F447A1"/>
    <w:rsid w:val="00F6541A"/>
    <w:rsid w:val="00F6607D"/>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F949F5"/>
  <w15:docId w15:val="{3BA9321E-7B52-4C48-9064-5837ED69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B8"/>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A5F22"/>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7755">
      <w:bodyDiv w:val="1"/>
      <w:marLeft w:val="0"/>
      <w:marRight w:val="0"/>
      <w:marTop w:val="0"/>
      <w:marBottom w:val="0"/>
      <w:divBdr>
        <w:top w:val="none" w:sz="0" w:space="0" w:color="auto"/>
        <w:left w:val="none" w:sz="0" w:space="0" w:color="auto"/>
        <w:bottom w:val="none" w:sz="0" w:space="0" w:color="auto"/>
        <w:right w:val="none" w:sz="0" w:space="0" w:color="auto"/>
      </w:divBdr>
    </w:div>
    <w:div w:id="1138572256">
      <w:bodyDiv w:val="1"/>
      <w:marLeft w:val="0"/>
      <w:marRight w:val="0"/>
      <w:marTop w:val="0"/>
      <w:marBottom w:val="0"/>
      <w:divBdr>
        <w:top w:val="none" w:sz="0" w:space="0" w:color="auto"/>
        <w:left w:val="none" w:sz="0" w:space="0" w:color="auto"/>
        <w:bottom w:val="none" w:sz="0" w:space="0" w:color="auto"/>
        <w:right w:val="none" w:sz="0" w:space="0" w:color="auto"/>
      </w:divBdr>
    </w:div>
    <w:div w:id="1751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AbrirModal(3)"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2650-A5E1-4B7D-AD7A-684B7A11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1962</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4</cp:revision>
  <cp:lastPrinted>2019-05-28T17:13:00Z</cp:lastPrinted>
  <dcterms:created xsi:type="dcterms:W3CDTF">2019-09-20T15:58:00Z</dcterms:created>
  <dcterms:modified xsi:type="dcterms:W3CDTF">2019-10-03T17:38:00Z</dcterms:modified>
</cp:coreProperties>
</file>