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54" w:rsidRDefault="00F00B54" w:rsidP="00F00B54">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F00B54" w:rsidRDefault="00F00B54" w:rsidP="00F00B54">
      <w:pPr>
        <w:spacing w:line="360" w:lineRule="auto"/>
        <w:jc w:val="both"/>
        <w:rPr>
          <w:rFonts w:ascii="Arial" w:hAnsi="Arial" w:cs="Arial"/>
          <w:b/>
          <w:sz w:val="24"/>
          <w:szCs w:val="24"/>
        </w:rPr>
      </w:pPr>
      <w:r>
        <w:rPr>
          <w:rFonts w:ascii="Arial" w:hAnsi="Arial" w:cs="Arial"/>
          <w:b/>
          <w:sz w:val="24"/>
          <w:szCs w:val="24"/>
        </w:rPr>
        <w:t xml:space="preserve">OAXACA DE JUÁREZ, OAXACA; A QUINCE DE FEBRERO DE DOS MIL DIECINUEVE (15/02/2019). - - - - - - - - - - - - - - - - - - - - - - - - - - - - - - - - - - - - </w:t>
      </w:r>
    </w:p>
    <w:p w:rsidR="00F00B54" w:rsidRDefault="00F00B54" w:rsidP="00F00B54">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059/2018, promovido por el C. </w:t>
      </w:r>
      <w:r w:rsidR="007A4873">
        <w:rPr>
          <w:rFonts w:ascii="Arial" w:hAnsi="Arial" w:cs="Arial"/>
          <w:sz w:val="24"/>
          <w:szCs w:val="24"/>
        </w:rPr>
        <w:t>***** ***** *****</w:t>
      </w:r>
      <w:r>
        <w:rPr>
          <w:rFonts w:ascii="Arial" w:hAnsi="Arial" w:cs="Arial"/>
          <w:sz w:val="24"/>
          <w:szCs w:val="24"/>
        </w:rPr>
        <w:t xml:space="preserve">, solicitando la nulidad del acta de infracción con número de folio </w:t>
      </w:r>
      <w:r w:rsidR="007A4873">
        <w:rPr>
          <w:rFonts w:ascii="Arial" w:hAnsi="Arial" w:cs="Arial"/>
          <w:sz w:val="24"/>
          <w:szCs w:val="24"/>
        </w:rPr>
        <w:t>*****, de fecha ***** de ***** de dos mil dieciocho (**/**/2018)</w:t>
      </w:r>
      <w:r>
        <w:rPr>
          <w:rFonts w:ascii="Arial" w:hAnsi="Arial" w:cs="Arial"/>
          <w:sz w:val="24"/>
          <w:szCs w:val="24"/>
        </w:rPr>
        <w:t xml:space="preserve">, emitida por el C. LUIS PEDRO CRUZ SUMANO, Policía Vial con número estadístico 132 de la Comisaría de Vialidad </w:t>
      </w:r>
      <w:r w:rsidRPr="00607B91">
        <w:rPr>
          <w:rFonts w:ascii="Arial" w:hAnsi="Arial" w:cs="Arial"/>
          <w:sz w:val="24"/>
          <w:szCs w:val="24"/>
        </w:rPr>
        <w:t xml:space="preserve">del Municipio de Oaxaca de Juárez; y, - - - - - - - - </w:t>
      </w:r>
    </w:p>
    <w:p w:rsidR="00F00B54" w:rsidRDefault="00F00B54" w:rsidP="00F00B54">
      <w:pPr>
        <w:spacing w:line="360" w:lineRule="auto"/>
        <w:jc w:val="center"/>
        <w:rPr>
          <w:rFonts w:ascii="Arial" w:hAnsi="Arial" w:cs="Arial"/>
          <w:b/>
          <w:sz w:val="24"/>
          <w:szCs w:val="24"/>
        </w:rPr>
      </w:pPr>
      <w:r>
        <w:rPr>
          <w:rFonts w:ascii="Arial" w:hAnsi="Arial" w:cs="Arial"/>
          <w:b/>
          <w:sz w:val="24"/>
          <w:szCs w:val="24"/>
        </w:rPr>
        <w:t>R E S U L T A N D O</w:t>
      </w:r>
    </w:p>
    <w:p w:rsidR="00F00B54" w:rsidRDefault="00F00B54" w:rsidP="00F00B54">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diecinueve de junio de dos mil dieciocho (19/06/2018), se recibió el escrito de </w:t>
      </w:r>
      <w:r w:rsidRPr="001131F7">
        <w:rPr>
          <w:rFonts w:ascii="Arial" w:hAnsi="Arial" w:cs="Arial"/>
          <w:sz w:val="24"/>
          <w:szCs w:val="24"/>
        </w:rPr>
        <w:t xml:space="preserve">demanda en la Oficialía de Partes de este Tribunal y con fecha </w:t>
      </w:r>
      <w:r>
        <w:rPr>
          <w:rFonts w:ascii="Arial" w:hAnsi="Arial" w:cs="Arial"/>
          <w:sz w:val="24"/>
          <w:szCs w:val="24"/>
        </w:rPr>
        <w:t>veinte del mismo mes y año (20/06</w:t>
      </w:r>
      <w:r w:rsidRPr="001131F7">
        <w:rPr>
          <w:rFonts w:ascii="Arial" w:hAnsi="Arial" w:cs="Arial"/>
          <w:sz w:val="24"/>
          <w:szCs w:val="24"/>
        </w:rPr>
        <w:t>/2018) se tuvo por admitida a trámite, ordenándose emplazar a Juicio a la autoridad demandada. - - - - - - - - - - - - - - - - - - -</w:t>
      </w:r>
      <w:r>
        <w:rPr>
          <w:rFonts w:ascii="Arial" w:hAnsi="Arial" w:cs="Arial"/>
          <w:sz w:val="24"/>
          <w:szCs w:val="24"/>
        </w:rPr>
        <w:t xml:space="preserve"> - - - - - - - - - - - - - - - - - - - - - - - - - - - - </w:t>
      </w:r>
    </w:p>
    <w:p w:rsidR="00F00B54" w:rsidRDefault="00F00B54" w:rsidP="00F00B54">
      <w:pPr>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sidRPr="0006170D">
        <w:rPr>
          <w:rFonts w:ascii="Arial" w:hAnsi="Arial" w:cs="Arial"/>
          <w:sz w:val="24"/>
          <w:szCs w:val="24"/>
        </w:rPr>
        <w:t xml:space="preserve">Con </w:t>
      </w:r>
      <w:r>
        <w:rPr>
          <w:rFonts w:ascii="Arial" w:hAnsi="Arial" w:cs="Arial"/>
          <w:sz w:val="24"/>
          <w:szCs w:val="24"/>
        </w:rPr>
        <w:t xml:space="preserve">fecha treinta y uno de agosto de dos mil dieciocho (31/08/2018), se tuvo a la demandada C. LUIS PEDRO CRUZ SUMANO, Policía Vial con número estadístico 132 de la Comisaría de Vialidad del Municipio de Oaxaca de Juárez, Oaxaca, contestando en tiempo la demanda, además se señaló fecha y hora para llevar a cabo la audiencia final. - - - - - - - - - - - - - - - - - - - - - - - - - - - - - - - - - - - - - - - - - - - - - - - - - - - - </w:t>
      </w:r>
    </w:p>
    <w:p w:rsidR="00F00B54" w:rsidRDefault="00F00B54" w:rsidP="00F00B54">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dieciséis de octubre de dos mil dieciocho (16/10/2018),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w:t>
      </w:r>
      <w:r w:rsidRPr="008E66FB">
        <w:rPr>
          <w:rFonts w:ascii="Arial" w:hAnsi="Arial" w:cs="Arial"/>
          <w:sz w:val="24"/>
          <w:szCs w:val="24"/>
        </w:rPr>
        <w:t xml:space="preserve">integrado y en estado de resolución; y, - - - </w:t>
      </w:r>
    </w:p>
    <w:p w:rsidR="00F00B54" w:rsidRDefault="00F00B54" w:rsidP="00F00B54">
      <w:pPr>
        <w:spacing w:line="360" w:lineRule="auto"/>
        <w:jc w:val="center"/>
        <w:rPr>
          <w:rFonts w:ascii="Arial" w:hAnsi="Arial" w:cs="Arial"/>
          <w:b/>
          <w:sz w:val="24"/>
          <w:szCs w:val="24"/>
        </w:rPr>
      </w:pPr>
      <w:r>
        <w:rPr>
          <w:rFonts w:ascii="Arial" w:hAnsi="Arial" w:cs="Arial"/>
          <w:b/>
          <w:sz w:val="24"/>
          <w:szCs w:val="24"/>
        </w:rPr>
        <w:t>C O N S I D E R A N D O</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w:t>
      </w:r>
      <w:r>
        <w:rPr>
          <w:rFonts w:ascii="Arial" w:hAnsi="Arial" w:cs="Arial"/>
          <w:sz w:val="24"/>
          <w:szCs w:val="24"/>
        </w:rPr>
        <w:lastRenderedPageBreak/>
        <w:t xml:space="preserve">Cuentas, Responsabilidad de los Servidores Públicos, Combate a la Corrupción e Impartición de Justicia Administrativa; artículos 119, 120 fracción I,132 fracción II, 133 fracción I, y 146,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 - - - - - - - - - - - - - - - - - </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F00B54" w:rsidRPr="003750C8" w:rsidRDefault="00F00B54" w:rsidP="00F00B54">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7A4873">
        <w:rPr>
          <w:rFonts w:ascii="Arial" w:hAnsi="Arial" w:cs="Arial"/>
          <w:sz w:val="24"/>
          <w:szCs w:val="24"/>
        </w:rPr>
        <w:t>***** ***** *****</w:t>
      </w:r>
      <w:r w:rsidRPr="00A17FFD">
        <w:rPr>
          <w:rFonts w:ascii="Arial" w:hAnsi="Arial" w:cs="Arial"/>
          <w:sz w:val="24"/>
          <w:szCs w:val="24"/>
        </w:rPr>
        <w:t>,</w:t>
      </w:r>
      <w:r>
        <w:rPr>
          <w:rFonts w:ascii="Arial" w:hAnsi="Arial" w:cs="Arial"/>
          <w:sz w:val="24"/>
          <w:szCs w:val="24"/>
        </w:rPr>
        <w:t xml:space="preserve"> consisten en</w:t>
      </w:r>
      <w:r w:rsidRPr="001567D3">
        <w:rPr>
          <w:rFonts w:ascii="Arial" w:hAnsi="Arial" w:cs="Arial"/>
          <w:b/>
          <w:sz w:val="24"/>
          <w:szCs w:val="24"/>
        </w:rPr>
        <w:t>: 1.-</w:t>
      </w:r>
      <w:r>
        <w:rPr>
          <w:rFonts w:ascii="Arial" w:hAnsi="Arial" w:cs="Arial"/>
          <w:sz w:val="24"/>
          <w:szCs w:val="24"/>
        </w:rPr>
        <w:t xml:space="preserve"> Original de acta de infracción con número de folio </w:t>
      </w:r>
      <w:r w:rsidR="007A4873">
        <w:rPr>
          <w:rFonts w:ascii="Arial" w:hAnsi="Arial" w:cs="Arial"/>
          <w:sz w:val="24"/>
          <w:szCs w:val="24"/>
        </w:rPr>
        <w:t>*****</w:t>
      </w:r>
      <w:r>
        <w:rPr>
          <w:rFonts w:ascii="Arial" w:hAnsi="Arial" w:cs="Arial"/>
          <w:sz w:val="24"/>
          <w:szCs w:val="24"/>
        </w:rPr>
        <w:t xml:space="preserve">, expedida el día </w:t>
      </w:r>
      <w:r w:rsidR="007A4873">
        <w:rPr>
          <w:rFonts w:ascii="Arial" w:hAnsi="Arial" w:cs="Arial"/>
          <w:sz w:val="24"/>
          <w:szCs w:val="24"/>
        </w:rPr>
        <w:t>*****</w:t>
      </w:r>
      <w:r>
        <w:rPr>
          <w:rFonts w:ascii="Arial" w:hAnsi="Arial" w:cs="Arial"/>
          <w:sz w:val="24"/>
          <w:szCs w:val="24"/>
        </w:rPr>
        <w:t xml:space="preserve"> de </w:t>
      </w:r>
      <w:r w:rsidR="007A4873">
        <w:rPr>
          <w:rFonts w:ascii="Arial" w:hAnsi="Arial" w:cs="Arial"/>
          <w:sz w:val="24"/>
          <w:szCs w:val="24"/>
        </w:rPr>
        <w:t>*****</w:t>
      </w:r>
      <w:r>
        <w:rPr>
          <w:rFonts w:ascii="Arial" w:hAnsi="Arial" w:cs="Arial"/>
          <w:sz w:val="24"/>
          <w:szCs w:val="24"/>
        </w:rPr>
        <w:t xml:space="preserve"> de dos mil dieciocho (</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 xml:space="preserve">/2018), por el C. LUIS PEDRO CRUZ SUMANO, Policía Vial con número estadístico 132,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demandada); </w:t>
      </w:r>
      <w:r w:rsidRPr="004F348D">
        <w:rPr>
          <w:rFonts w:ascii="Arial" w:hAnsi="Arial" w:cs="Arial"/>
          <w:b/>
          <w:sz w:val="24"/>
          <w:szCs w:val="24"/>
        </w:rPr>
        <w:t>2.-</w:t>
      </w:r>
      <w:r>
        <w:rPr>
          <w:rFonts w:ascii="Arial" w:hAnsi="Arial" w:cs="Arial"/>
          <w:sz w:val="24"/>
          <w:szCs w:val="24"/>
        </w:rPr>
        <w:t xml:space="preserve"> Copia simple de credencial para votar con fotografía expedida a favor del actor por el Instituto Federal Electoral.    </w:t>
      </w:r>
    </w:p>
    <w:p w:rsidR="00F00B54" w:rsidRDefault="00F00B54" w:rsidP="00F00B54">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C. LUIS PEDRO CRUZ SUMANO, Policía Vial con número estadístico 132,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se le admitió copia certificada de nombramiento y protesta de ley.</w:t>
      </w:r>
    </w:p>
    <w:p w:rsidR="00F00B54" w:rsidRDefault="00F00B54" w:rsidP="00F00B54">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Al </w:t>
      </w:r>
      <w:r w:rsidRPr="007D1A41">
        <w:rPr>
          <w:rFonts w:ascii="Arial" w:eastAsia="Times New Roman" w:hAnsi="Arial" w:cs="Arial"/>
          <w:sz w:val="24"/>
          <w:szCs w:val="24"/>
          <w:lang w:val="es-ES_tradnl" w:eastAsia="es-ES"/>
        </w:rPr>
        <w:t xml:space="preserve">acta de infracción remitida en </w:t>
      </w:r>
      <w:r>
        <w:rPr>
          <w:rFonts w:ascii="Arial" w:eastAsia="Times New Roman" w:hAnsi="Arial" w:cs="Arial"/>
          <w:sz w:val="24"/>
          <w:szCs w:val="24"/>
          <w:lang w:val="es-ES_tradnl" w:eastAsia="es-ES"/>
        </w:rPr>
        <w:t xml:space="preserve">original y a la copia certificada del nombramiento de la autoridad vial demandada, se les concede </w:t>
      </w:r>
      <w:r w:rsidRPr="00196350">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xml:space="preserve">, a la primera porque es un documento original, en el que consta el nombre y cargo de la autoridad que lo emitió, además se toma en cuenta que el Policía Vial demandado, al contestar la demanda lo hizo suyo, quedando de manifiesto su existencia y veracidad de su contenido, el nombramiento fue certificado por una persona con plenas facultades para </w:t>
      </w:r>
      <w:r>
        <w:rPr>
          <w:rFonts w:ascii="Arial" w:eastAsia="Times New Roman" w:hAnsi="Arial" w:cs="Arial"/>
          <w:sz w:val="24"/>
          <w:szCs w:val="24"/>
          <w:lang w:val="es-ES_tradnl" w:eastAsia="es-ES"/>
        </w:rPr>
        <w:lastRenderedPageBreak/>
        <w:t xml:space="preserve">ello como es el </w:t>
      </w:r>
      <w:r>
        <w:rPr>
          <w:rFonts w:ascii="Arial" w:hAnsi="Arial" w:cs="Arial"/>
          <w:sz w:val="24"/>
          <w:szCs w:val="24"/>
        </w:rPr>
        <w:t>Secretario del Ayuntamiento del Municipio de Oaxaca de Juárez, Oaxaca, quien actuó de conformidad con lo dispuesto en los artículos 92 fracción IV de la Ley Orgánica Municipal del Estado de Oaxaca y 207 fracción VI del Bando de Policía y Buen Gobierno del Municipio de Oaxaca de Juárez, Oaxaca, por lo que también genera convicción sobre su existencia y veracidad de su contenido.</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F00B54" w:rsidRDefault="00F00B54" w:rsidP="00F00B54">
      <w:pPr>
        <w:spacing w:line="360" w:lineRule="auto"/>
        <w:ind w:firstLine="708"/>
        <w:jc w:val="both"/>
        <w:rPr>
          <w:rFonts w:ascii="Arial" w:hAnsi="Arial" w:cs="Arial"/>
          <w:sz w:val="24"/>
          <w:szCs w:val="24"/>
        </w:rPr>
      </w:pPr>
      <w:r>
        <w:rPr>
          <w:rFonts w:ascii="Arial" w:hAnsi="Arial" w:cs="Arial"/>
          <w:sz w:val="24"/>
          <w:szCs w:val="24"/>
        </w:rPr>
        <w:t xml:space="preserve">Al documento que en copia simple remitió la actora (credencial para votar con fotografía),se le otorga </w:t>
      </w:r>
      <w:r w:rsidRPr="007E4100">
        <w:rPr>
          <w:rFonts w:ascii="Arial" w:hAnsi="Arial" w:cs="Arial"/>
          <w:b/>
          <w:sz w:val="24"/>
          <w:szCs w:val="24"/>
        </w:rPr>
        <w:t>valor probatorio indiciario</w:t>
      </w:r>
      <w:r>
        <w:rPr>
          <w:rFonts w:ascii="Arial" w:hAnsi="Arial" w:cs="Arial"/>
          <w:sz w:val="24"/>
          <w:szCs w:val="24"/>
        </w:rPr>
        <w:t xml:space="preserve">, porque se encuentra adminiculada con el acta de infracción, resultando coincidentes los nombres que aparecen en ambos documentos, por lo tanto no es una probanza aislada, razón por las que se le otorga ese </w:t>
      </w:r>
      <w:r w:rsidRPr="007E4100">
        <w:rPr>
          <w:rFonts w:ascii="Arial" w:hAnsi="Arial" w:cs="Arial"/>
          <w:sz w:val="24"/>
          <w:szCs w:val="24"/>
        </w:rPr>
        <w:t>valor probatorio</w:t>
      </w:r>
      <w:r>
        <w:rPr>
          <w:rFonts w:ascii="Arial" w:hAnsi="Arial" w:cs="Arial"/>
          <w:sz w:val="24"/>
          <w:szCs w:val="24"/>
        </w:rPr>
        <w:t>,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F00B54" w:rsidRDefault="00F00B54" w:rsidP="00F00B54">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LA INSTRUMENTAL DE ACTUACIONES, ofrecida por la actora y policía vial demandado, se constituye de la totalidad de las pruebas </w:t>
      </w:r>
      <w:r>
        <w:rPr>
          <w:rFonts w:ascii="Arial" w:hAnsi="Arial" w:cs="Arial"/>
          <w:sz w:val="24"/>
          <w:szCs w:val="24"/>
        </w:rPr>
        <w:lastRenderedPageBreak/>
        <w:t>recabadas en el presente Juicio, y con ellas se confirma el contenido del enjuiciamiento, porque los hechos contenidos en las documentales son afirmaciones expresadas por ellas.</w:t>
      </w:r>
    </w:p>
    <w:p w:rsidR="00F00B54" w:rsidRDefault="00F00B54" w:rsidP="00F00B54">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antes referidos,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 - </w:t>
      </w:r>
    </w:p>
    <w:p w:rsidR="00F00B54" w:rsidRDefault="00F00B54" w:rsidP="00F00B54">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 -</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 la actora C. </w:t>
      </w:r>
      <w:r w:rsidR="007A4873">
        <w:rPr>
          <w:rFonts w:ascii="Arial" w:hAnsi="Arial" w:cs="Arial"/>
          <w:sz w:val="24"/>
          <w:szCs w:val="24"/>
        </w:rPr>
        <w:t>*****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su nombre aparece plasmado en el acta de infracción impugnada precisamente en el apartado correspondiente al nombre del infractor, por lo que no queda lugar a dudas, que fue a él y no a persona distinta a la que fue dirigida, justificándose así su personalidad jurídica y legítima en el presente Juicio.</w:t>
      </w:r>
    </w:p>
    <w:p w:rsidR="00F00B54" w:rsidRPr="00104EF9" w:rsidRDefault="00F00B54" w:rsidP="00F00B54">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C. LUIS PEDRO CRUZ SUMANO, Policía Vial con número estadístico 132, </w:t>
      </w:r>
      <w:r>
        <w:rPr>
          <w:rFonts w:ascii="Arial" w:eastAsia="Times New Roman" w:hAnsi="Arial" w:cs="Arial"/>
          <w:sz w:val="24"/>
          <w:szCs w:val="24"/>
          <w:lang w:val="es-ES_tradnl" w:eastAsia="es-ES"/>
        </w:rPr>
        <w:t>de la Comisaría de Vialidad del</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personalidad por disposición expresa del </w:t>
      </w:r>
      <w:r w:rsidRPr="00104EF9">
        <w:rPr>
          <w:rFonts w:ascii="Arial" w:hAnsi="Arial" w:cs="Arial"/>
          <w:sz w:val="24"/>
        </w:rPr>
        <w:t xml:space="preserve">artículo 151 de la Ley de Procedimiento y Justicia Administrativa del Estado de Oaxaca, toda vez que </w:t>
      </w:r>
      <w:r>
        <w:rPr>
          <w:rFonts w:ascii="Arial" w:hAnsi="Arial" w:cs="Arial"/>
          <w:sz w:val="24"/>
        </w:rPr>
        <w:lastRenderedPageBreak/>
        <w:t xml:space="preserve">ésta </w:t>
      </w:r>
      <w:r w:rsidRPr="00104EF9">
        <w:rPr>
          <w:rFonts w:ascii="Arial" w:hAnsi="Arial" w:cs="Arial"/>
          <w:sz w:val="24"/>
        </w:rPr>
        <w:t>no fue impugnada por la parte actora</w:t>
      </w:r>
      <w:r>
        <w:rPr>
          <w:rFonts w:ascii="Arial" w:hAnsi="Arial" w:cs="Arial"/>
          <w:sz w:val="24"/>
        </w:rPr>
        <w:t>, además porque remitió copia certificada de su nombramiento, documento con pleno valor probatorio como se indicó en líneas que anteceden y con el que sin duda colma los requisitos del numeral 151 ya citado</w:t>
      </w:r>
      <w:r w:rsidRPr="00104EF9">
        <w:rPr>
          <w:rFonts w:ascii="Arial" w:hAnsi="Arial" w:cs="Arial"/>
          <w:sz w:val="24"/>
        </w:rPr>
        <w:t xml:space="preserve">.- - - - </w:t>
      </w:r>
      <w:r>
        <w:rPr>
          <w:rFonts w:ascii="Arial" w:hAnsi="Arial" w:cs="Arial"/>
          <w:sz w:val="24"/>
        </w:rPr>
        <w:t xml:space="preserve">- - - - - - - - - - - - - - - - - - - - - - - - - - - - - - - - - </w:t>
      </w:r>
    </w:p>
    <w:p w:rsidR="00F00B54" w:rsidRDefault="00F00B54" w:rsidP="00F00B54">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F00B54" w:rsidRDefault="00F00B54" w:rsidP="00F00B54">
      <w:pPr>
        <w:pStyle w:val="corte4fondoCarCarCar"/>
        <w:spacing w:before="240"/>
        <w:ind w:firstLine="708"/>
        <w:rPr>
          <w:rFonts w:cs="Arial"/>
          <w:bCs/>
          <w:sz w:val="24"/>
        </w:rPr>
      </w:pPr>
      <w:r>
        <w:rPr>
          <w:rFonts w:cs="Arial"/>
          <w:bCs/>
          <w:sz w:val="24"/>
        </w:rPr>
        <w:t xml:space="preserve">La autoridad demandada considera </w:t>
      </w:r>
      <w:proofErr w:type="gramStart"/>
      <w:r>
        <w:rPr>
          <w:rFonts w:cs="Arial"/>
          <w:bCs/>
          <w:sz w:val="24"/>
        </w:rPr>
        <w:t>que</w:t>
      </w:r>
      <w:proofErr w:type="gramEnd"/>
      <w:r>
        <w:rPr>
          <w:rFonts w:cs="Arial"/>
          <w:bCs/>
          <w:sz w:val="24"/>
        </w:rPr>
        <w:t xml:space="preserve"> en el presente caso, se actualizan las causales de improcedencia, previstas en las fracciones V, VI y X del artículo 161 de la </w:t>
      </w:r>
      <w:r w:rsidRPr="00683CA0">
        <w:rPr>
          <w:rFonts w:cs="Arial"/>
          <w:bCs/>
          <w:sz w:val="24"/>
        </w:rPr>
        <w:t>Ley de la Materia, referentes a los actos consumados, a los consentidos y a los que la improcedencia resulte de alguna disposición de la ley.</w:t>
      </w:r>
    </w:p>
    <w:p w:rsidR="00F00B54" w:rsidRPr="001D6227" w:rsidRDefault="00F00B54" w:rsidP="00F00B54">
      <w:pPr>
        <w:pStyle w:val="corte4fondoCarCarCar"/>
        <w:spacing w:before="240"/>
        <w:ind w:firstLine="708"/>
        <w:rPr>
          <w:rFonts w:cs="Arial"/>
          <w:sz w:val="24"/>
        </w:rPr>
      </w:pPr>
      <w:r>
        <w:rPr>
          <w:rFonts w:cs="Arial"/>
          <w:bCs/>
          <w:sz w:val="24"/>
        </w:rPr>
        <w:t xml:space="preserve">Esta Juzgadora toma en cuenta, que </w:t>
      </w:r>
      <w:r>
        <w:rPr>
          <w:rFonts w:cs="Arial"/>
          <w:sz w:val="24"/>
        </w:rPr>
        <w:t>la</w:t>
      </w:r>
      <w:r>
        <w:rPr>
          <w:rFonts w:cs="Arial"/>
          <w:b/>
          <w:sz w:val="24"/>
        </w:rPr>
        <w:t xml:space="preserve"> fracción V,</w:t>
      </w:r>
      <w:r>
        <w:rPr>
          <w:rFonts w:cs="Arial"/>
          <w:sz w:val="24"/>
        </w:rPr>
        <w:t xml:space="preserve"> del artículo 161 de la ley en cita, </w:t>
      </w:r>
      <w:r w:rsidRPr="00127C9A">
        <w:rPr>
          <w:rFonts w:cs="Arial"/>
          <w:sz w:val="24"/>
        </w:rPr>
        <w:t>establece la improcedencia contra actos consumados de un modo irreparable</w:t>
      </w:r>
      <w:r>
        <w:rPr>
          <w:rFonts w:cs="Arial"/>
          <w:sz w:val="24"/>
        </w:rPr>
        <w:t xml:space="preserve">, dicha hipótesis </w:t>
      </w:r>
      <w:r w:rsidRPr="00FF4BAD">
        <w:rPr>
          <w:rFonts w:cs="Arial"/>
          <w:b/>
          <w:sz w:val="24"/>
        </w:rPr>
        <w:t>no se actualiza</w:t>
      </w:r>
      <w:r>
        <w:rPr>
          <w:rFonts w:cs="Arial"/>
          <w:sz w:val="24"/>
        </w:rPr>
        <w:t>, porque se debe analizar si el acta de infracción es un acto consumado y de modo irreparable, atendiendo</w:t>
      </w:r>
      <w:r>
        <w:rPr>
          <w:rFonts w:cs="Arial"/>
          <w:color w:val="000000"/>
          <w:sz w:val="24"/>
        </w:rPr>
        <w:t xml:space="preserve"> su naturaleza y efectos, y se tiene que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n cambio, los actos consumados de modo irreparable, son aquéllos que al realizarse en todos y cada uno de sus efectos y consecuencias, física y materialmente, ya no pueden ser restituidos al estado en que se encontraban ante</w:t>
      </w:r>
      <w:r>
        <w:rPr>
          <w:rFonts w:cs="Arial"/>
          <w:color w:val="000000"/>
          <w:sz w:val="24"/>
        </w:rPr>
        <w:t>s de las violaciones reclamadas</w:t>
      </w:r>
      <w:r w:rsidRPr="00DF4A02">
        <w:rPr>
          <w:rFonts w:cs="Arial"/>
          <w:color w:val="000000"/>
          <w:sz w:val="24"/>
        </w:rPr>
        <w:t xml:space="preserve">. </w:t>
      </w:r>
      <w:r>
        <w:rPr>
          <w:rFonts w:cs="Arial"/>
          <w:color w:val="000000"/>
          <w:sz w:val="24"/>
        </w:rPr>
        <w:t>Por lo tanto</w:t>
      </w:r>
      <w:r w:rsidRPr="00DF4A02">
        <w:rPr>
          <w:rFonts w:cs="Arial"/>
          <w:color w:val="000000"/>
          <w:sz w:val="24"/>
        </w:rPr>
        <w:t xml:space="preserve">, para determinar si se está en presencia de un acto consumado de modo reparable o irreparable, se debe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luego entonces,</w:t>
      </w:r>
      <w:r w:rsidRPr="00DF4A02">
        <w:rPr>
          <w:rFonts w:cs="Arial"/>
          <w:color w:val="000000"/>
          <w:sz w:val="24"/>
        </w:rPr>
        <w:t xml:space="preserve"> los efectos y consecuencias del acto reclamado</w:t>
      </w:r>
      <w:r>
        <w:rPr>
          <w:rFonts w:cs="Arial"/>
          <w:color w:val="000000"/>
          <w:sz w:val="24"/>
        </w:rPr>
        <w:t>,</w:t>
      </w:r>
      <w:r w:rsidRPr="00DF4A02">
        <w:rPr>
          <w:rFonts w:cs="Arial"/>
          <w:color w:val="000000"/>
          <w:sz w:val="24"/>
        </w:rPr>
        <w:t xml:space="preserve"> ya ejecutado</w:t>
      </w:r>
      <w:r>
        <w:rPr>
          <w:rFonts w:cs="Arial"/>
          <w:color w:val="000000"/>
          <w:sz w:val="24"/>
        </w:rPr>
        <w:t>,</w:t>
      </w:r>
      <w:r w:rsidRPr="00DF4A02">
        <w:rPr>
          <w:rFonts w:cs="Arial"/>
          <w:color w:val="000000"/>
          <w:sz w:val="24"/>
        </w:rPr>
        <w:t xml:space="preserve"> 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w:t>
      </w:r>
      <w:r w:rsidRPr="00DF4A02">
        <w:rPr>
          <w:rFonts w:cs="Arial"/>
          <w:color w:val="000000"/>
          <w:sz w:val="24"/>
        </w:rPr>
        <w:lastRenderedPageBreak/>
        <w:t>retrotraerse éste, es un acto consumado de modo irreparable, cuando la restitución del acto ejecutado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w:t>
      </w:r>
      <w:r>
        <w:rPr>
          <w:rFonts w:cs="Arial"/>
          <w:color w:val="000000"/>
          <w:sz w:val="24"/>
        </w:rPr>
        <w:t>,</w:t>
      </w:r>
      <w:r w:rsidRPr="00DF4A02">
        <w:rPr>
          <w:rFonts w:cs="Arial"/>
          <w:color w:val="000000"/>
          <w:sz w:val="24"/>
        </w:rPr>
        <w:t xml:space="preserve"> debe atender a la </w:t>
      </w:r>
      <w:proofErr w:type="spellStart"/>
      <w:r w:rsidRPr="00DF4A02">
        <w:rPr>
          <w:rFonts w:cs="Arial"/>
          <w:color w:val="000000"/>
          <w:sz w:val="24"/>
        </w:rPr>
        <w:t>reparabilidad</w:t>
      </w:r>
      <w:proofErr w:type="spellEnd"/>
      <w:r w:rsidRPr="00DF4A02">
        <w:rPr>
          <w:rFonts w:cs="Arial"/>
          <w:color w:val="000000"/>
          <w:sz w:val="24"/>
        </w:rPr>
        <w:t xml:space="preserve"> física y material de los mismos, es decir, al hecho de que el gobernado pueda gozar jurídica y nuevamente del derecho que tiene tutelado, y que le fue transgredido, </w:t>
      </w:r>
      <w:r>
        <w:rPr>
          <w:rFonts w:cs="Arial"/>
          <w:color w:val="000000"/>
          <w:sz w:val="24"/>
        </w:rPr>
        <w:t xml:space="preserve">porque </w:t>
      </w:r>
      <w:r w:rsidRPr="00DF4A02">
        <w:rPr>
          <w:rFonts w:cs="Arial"/>
          <w:color w:val="000000"/>
          <w:sz w:val="24"/>
        </w:rPr>
        <w:t>el tiempo no rige la materialización física y restituible de los actos ejecutados (actos consumados). Criterio sustentado en la tesis jurisprudencial</w:t>
      </w:r>
      <w:r>
        <w:rPr>
          <w:rFonts w:cs="Arial"/>
          <w:color w:val="000000"/>
          <w:sz w:val="24"/>
        </w:rPr>
        <w:t>,</w:t>
      </w:r>
      <w:r w:rsidRPr="00DF4A02">
        <w:rPr>
          <w:rFonts w:cs="Arial"/>
          <w:color w:val="000000"/>
          <w:sz w:val="24"/>
        </w:rPr>
        <w:t xml:space="preserve"> con datos de identificación: Semanario Judicial de la Federación, Tomo XIV, </w:t>
      </w:r>
      <w:proofErr w:type="gramStart"/>
      <w:r w:rsidRPr="00DF4A02">
        <w:rPr>
          <w:rFonts w:cs="Arial"/>
          <w:color w:val="000000"/>
          <w:sz w:val="24"/>
        </w:rPr>
        <w:t>Diciembre</w:t>
      </w:r>
      <w:proofErr w:type="gramEnd"/>
      <w:r w:rsidRPr="00DF4A02">
        <w:rPr>
          <w:rFonts w:cs="Arial"/>
          <w:color w:val="000000"/>
          <w:sz w:val="24"/>
        </w:rPr>
        <w:t xml:space="preserv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F00B54" w:rsidRPr="00DF4A02" w:rsidRDefault="00F00B54" w:rsidP="00F00B54">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t xml:space="preserve">      Respecto a la hipótesis contenida en</w:t>
      </w:r>
      <w:r w:rsidRPr="00DF4A02">
        <w:rPr>
          <w:rFonts w:ascii="Arial" w:hAnsi="Arial" w:cs="Arial"/>
          <w:b/>
          <w:sz w:val="24"/>
          <w:szCs w:val="24"/>
        </w:rPr>
        <w:t xml:space="preserve"> la fracción VI</w:t>
      </w:r>
      <w:r w:rsidRPr="00DF4A02">
        <w:rPr>
          <w:rFonts w:ascii="Arial" w:hAnsi="Arial" w:cs="Arial"/>
          <w:sz w:val="24"/>
          <w:szCs w:val="24"/>
        </w:rPr>
        <w:t xml:space="preserve">, </w:t>
      </w:r>
      <w:r>
        <w:rPr>
          <w:rFonts w:ascii="Arial" w:hAnsi="Arial" w:cs="Arial"/>
          <w:sz w:val="24"/>
          <w:szCs w:val="24"/>
        </w:rPr>
        <w:t xml:space="preserve">del citado artículo, </w:t>
      </w:r>
      <w:r w:rsidRPr="00127C9A">
        <w:rPr>
          <w:rFonts w:ascii="Arial" w:hAnsi="Arial" w:cs="Arial"/>
          <w:sz w:val="24"/>
        </w:rPr>
        <w:t>que contempla la improcedencia contra actos consentidos expresamente o por</w:t>
      </w:r>
      <w:r>
        <w:rPr>
          <w:rFonts w:ascii="Arial" w:hAnsi="Arial" w:cs="Arial"/>
          <w:sz w:val="24"/>
        </w:rPr>
        <w:t xml:space="preserve"> manifestaciones de la voluntad, </w:t>
      </w:r>
      <w:r w:rsidRPr="00127C9A">
        <w:rPr>
          <w:rFonts w:ascii="Arial" w:hAnsi="Arial" w:cs="Arial"/>
          <w:sz w:val="24"/>
        </w:rPr>
        <w:t>que entrañen ese consentimiento, cuando no se promueva el juicio dentro del término</w:t>
      </w:r>
      <w:r>
        <w:rPr>
          <w:rFonts w:ascii="Arial" w:hAnsi="Arial" w:cs="Arial"/>
          <w:sz w:val="24"/>
          <w:szCs w:val="24"/>
        </w:rPr>
        <w:t>,</w:t>
      </w:r>
      <w:r w:rsidRPr="00DF4A02">
        <w:rPr>
          <w:rFonts w:ascii="Arial" w:hAnsi="Arial" w:cs="Arial"/>
          <w:sz w:val="24"/>
          <w:szCs w:val="24"/>
        </w:rPr>
        <w:t xml:space="preserve"> </w:t>
      </w:r>
      <w:r w:rsidRPr="004F0F2C">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 al no estar conforme con la</w:t>
      </w:r>
      <w:r>
        <w:rPr>
          <w:rFonts w:ascii="Arial" w:hAnsi="Arial" w:cs="Arial"/>
          <w:sz w:val="24"/>
          <w:szCs w:val="24"/>
        </w:rPr>
        <w:t xml:space="preserve"> infracción de tránsito</w:t>
      </w:r>
      <w:r w:rsidRPr="00DF4A02">
        <w:rPr>
          <w:rFonts w:ascii="Arial" w:hAnsi="Arial" w:cs="Arial"/>
          <w:sz w:val="24"/>
          <w:szCs w:val="24"/>
        </w:rPr>
        <w:t>, interpuso en tiempo el Juicio de Nulidad, haciendo claras manifestac</w:t>
      </w:r>
      <w:r>
        <w:rPr>
          <w:rFonts w:ascii="Arial" w:hAnsi="Arial" w:cs="Arial"/>
          <w:sz w:val="24"/>
          <w:szCs w:val="24"/>
        </w:rPr>
        <w:t xml:space="preserve">iones en su escrito de demanda, al sentir violentada su esfera jurídica, además, esta Juzgadora advierte que la parte actora, </w:t>
      </w:r>
      <w:r w:rsidRPr="00DF4A02">
        <w:rPr>
          <w:rFonts w:ascii="Arial" w:hAnsi="Arial" w:cs="Arial"/>
          <w:sz w:val="24"/>
          <w:szCs w:val="24"/>
        </w:rPr>
        <w:t>de ninguna forma ha consentido el acto de la autoridad demandada, pues como ya se ha  precisado, promovió en tiempo el juicio de nulidad sobre el acta de infracción. Además</w:t>
      </w:r>
      <w:r>
        <w:rPr>
          <w:rFonts w:ascii="Arial" w:hAnsi="Arial" w:cs="Arial"/>
          <w:sz w:val="24"/>
          <w:szCs w:val="24"/>
        </w:rPr>
        <w:t>,</w:t>
      </w:r>
      <w:r w:rsidRPr="00DF4A02">
        <w:rPr>
          <w:rFonts w:ascii="Arial" w:hAnsi="Arial" w:cs="Arial"/>
          <w:sz w:val="24"/>
          <w:szCs w:val="24"/>
        </w:rPr>
        <w:t xml:space="preserve"> de las constancias de autos</w:t>
      </w:r>
      <w:r>
        <w:rPr>
          <w:rFonts w:ascii="Arial" w:hAnsi="Arial" w:cs="Arial"/>
          <w:sz w:val="24"/>
          <w:szCs w:val="24"/>
        </w:rPr>
        <w:t>,</w:t>
      </w:r>
      <w:r w:rsidRPr="00DF4A02">
        <w:rPr>
          <w:rFonts w:ascii="Arial" w:hAnsi="Arial" w:cs="Arial"/>
          <w:sz w:val="24"/>
          <w:szCs w:val="24"/>
        </w:rPr>
        <w:t xml:space="preserve"> no se advierte la existencia de constancia,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 el escrito de demanda fue presentada dentro del término de treinta días hábiles que prevé la Ley de </w:t>
      </w:r>
      <w:r>
        <w:rPr>
          <w:rFonts w:ascii="Arial" w:hAnsi="Arial" w:cs="Arial"/>
          <w:sz w:val="24"/>
          <w:szCs w:val="24"/>
        </w:rPr>
        <w:t>la Materia</w:t>
      </w:r>
      <w:r w:rsidRPr="004F0F2C">
        <w:rPr>
          <w:rFonts w:ascii="Arial" w:hAnsi="Arial" w:cs="Arial"/>
          <w:bCs/>
          <w:sz w:val="24"/>
          <w:szCs w:val="24"/>
        </w:rPr>
        <w:t xml:space="preserve">; </w:t>
      </w:r>
      <w:r w:rsidRPr="00DF4A02">
        <w:rPr>
          <w:rFonts w:ascii="Arial" w:hAnsi="Arial" w:cs="Arial"/>
          <w:bCs/>
          <w:sz w:val="24"/>
          <w:szCs w:val="24"/>
        </w:rPr>
        <w:t>de ahí</w:t>
      </w:r>
      <w:r>
        <w:rPr>
          <w:rFonts w:ascii="Arial" w:hAnsi="Arial" w:cs="Arial"/>
          <w:bCs/>
          <w:sz w:val="24"/>
          <w:szCs w:val="24"/>
        </w:rPr>
        <w:t>,</w:t>
      </w:r>
      <w:r w:rsidRPr="00DF4A02">
        <w:rPr>
          <w:rFonts w:ascii="Arial" w:hAnsi="Arial" w:cs="Arial"/>
          <w:bCs/>
          <w:sz w:val="24"/>
          <w:szCs w:val="24"/>
        </w:rPr>
        <w:t xml:space="preserve"> que el juicio se pro</w:t>
      </w:r>
      <w:r>
        <w:rPr>
          <w:rFonts w:ascii="Arial" w:hAnsi="Arial" w:cs="Arial"/>
          <w:bCs/>
          <w:sz w:val="24"/>
          <w:szCs w:val="24"/>
        </w:rPr>
        <w:t>movió dentro del término de ley.</w:t>
      </w:r>
    </w:p>
    <w:p w:rsidR="00F00B54" w:rsidRPr="003A6B3C" w:rsidRDefault="00F00B54" w:rsidP="00F00B54">
      <w:pPr>
        <w:tabs>
          <w:tab w:val="left" w:pos="567"/>
        </w:tabs>
        <w:spacing w:line="360" w:lineRule="auto"/>
        <w:ind w:right="51"/>
        <w:jc w:val="both"/>
        <w:rPr>
          <w:rFonts w:ascii="Arial" w:hAnsi="Arial" w:cs="Arial"/>
          <w:sz w:val="24"/>
          <w:szCs w:val="24"/>
        </w:rPr>
      </w:pPr>
      <w:r w:rsidRPr="00DF4A02">
        <w:rPr>
          <w:rFonts w:ascii="Arial" w:hAnsi="Arial" w:cs="Arial"/>
          <w:sz w:val="24"/>
          <w:szCs w:val="24"/>
        </w:rPr>
        <w:tab/>
        <w:t>Finalmente</w:t>
      </w:r>
      <w:r>
        <w:rPr>
          <w:rFonts w:ascii="Arial" w:hAnsi="Arial" w:cs="Arial"/>
          <w:sz w:val="24"/>
          <w:szCs w:val="24"/>
        </w:rPr>
        <w:t>,</w:t>
      </w:r>
      <w:r w:rsidRPr="00DF4A02">
        <w:rPr>
          <w:rFonts w:ascii="Arial" w:hAnsi="Arial" w:cs="Arial"/>
          <w:sz w:val="24"/>
          <w:szCs w:val="24"/>
        </w:rPr>
        <w:t xml:space="preserve"> por lo que respecta a la hipótesis contenida en la</w:t>
      </w:r>
      <w:r w:rsidRPr="00DF4A02">
        <w:rPr>
          <w:rFonts w:ascii="Arial" w:hAnsi="Arial" w:cs="Arial"/>
          <w:b/>
          <w:sz w:val="24"/>
          <w:szCs w:val="24"/>
        </w:rPr>
        <w:t xml:space="preserve"> fracción X, </w:t>
      </w:r>
      <w:r w:rsidRPr="00741679">
        <w:rPr>
          <w:rFonts w:ascii="Arial" w:hAnsi="Arial" w:cs="Arial"/>
          <w:sz w:val="24"/>
          <w:szCs w:val="24"/>
        </w:rPr>
        <w:t>referente a</w:t>
      </w:r>
      <w:r>
        <w:rPr>
          <w:rFonts w:ascii="Arial" w:hAnsi="Arial" w:cs="Arial"/>
          <w:b/>
          <w:sz w:val="24"/>
          <w:szCs w:val="24"/>
        </w:rPr>
        <w:t xml:space="preserve"> </w:t>
      </w:r>
      <w:r w:rsidRPr="00127C9A">
        <w:rPr>
          <w:rFonts w:ascii="Arial" w:hAnsi="Arial" w:cs="Arial"/>
          <w:sz w:val="24"/>
        </w:rPr>
        <w:t>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debe 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w:t>
      </w:r>
      <w:r w:rsidRPr="00DF4A02">
        <w:rPr>
          <w:rFonts w:ascii="Arial" w:hAnsi="Arial" w:cs="Arial"/>
          <w:sz w:val="24"/>
          <w:szCs w:val="24"/>
        </w:rPr>
        <w:t xml:space="preserve"> no realiza ningún se</w:t>
      </w:r>
      <w:r>
        <w:rPr>
          <w:rFonts w:ascii="Arial" w:hAnsi="Arial" w:cs="Arial"/>
          <w:sz w:val="24"/>
          <w:szCs w:val="24"/>
        </w:rPr>
        <w:t>ñalamiento que amerite que esta juzgadora</w:t>
      </w:r>
      <w:r w:rsidRPr="00DF4A02">
        <w:rPr>
          <w:rFonts w:ascii="Arial" w:hAnsi="Arial" w:cs="Arial"/>
          <w:sz w:val="24"/>
          <w:szCs w:val="24"/>
        </w:rPr>
        <w:t xml:space="preserve"> se avoque al estudio</w:t>
      </w:r>
      <w:r>
        <w:rPr>
          <w:rFonts w:ascii="Arial" w:hAnsi="Arial" w:cs="Arial"/>
          <w:sz w:val="24"/>
          <w:szCs w:val="24"/>
        </w:rPr>
        <w:t xml:space="preserve"> de dicha causal, aunado a que esta juzgadora no advierte que se actualice ninguna disposición normativa que impida entrar al estudio de fondo de este asunto, de ahí que no se actualice dicha causal. </w:t>
      </w:r>
    </w:p>
    <w:p w:rsidR="00F00B54" w:rsidRDefault="00F00B54" w:rsidP="00F00B54">
      <w:pPr>
        <w:pStyle w:val="corte4fondoCarCarCar"/>
        <w:spacing w:before="240"/>
        <w:ind w:firstLine="708"/>
        <w:rPr>
          <w:rFonts w:cs="Arial"/>
          <w:sz w:val="24"/>
        </w:rPr>
      </w:pPr>
      <w:r>
        <w:rPr>
          <w:rFonts w:cs="Arial"/>
          <w:bCs/>
          <w:sz w:val="24"/>
        </w:rPr>
        <w:lastRenderedPageBreak/>
        <w:t xml:space="preserve">La autoridad vial demandada también hizo valer </w:t>
      </w:r>
      <w:r w:rsidRPr="00683CA0">
        <w:rPr>
          <w:rFonts w:cs="Arial"/>
          <w:b/>
          <w:bCs/>
          <w:sz w:val="24"/>
        </w:rPr>
        <w:t>nueve excepciones</w:t>
      </w:r>
      <w:r>
        <w:rPr>
          <w:rFonts w:cs="Arial"/>
          <w:bCs/>
          <w:sz w:val="24"/>
        </w:rPr>
        <w:t>, todas ellas relacionadas con el fondo del asunto, por lo que su estudio se realizará en líneas posteriores, y por lo que respecta a la</w:t>
      </w:r>
      <w:r>
        <w:rPr>
          <w:rFonts w:cs="Arial"/>
          <w:sz w:val="24"/>
        </w:rPr>
        <w:t xml:space="preserve"> </w:t>
      </w:r>
      <w:r w:rsidRPr="005774AE">
        <w:rPr>
          <w:rFonts w:cs="Arial"/>
          <w:b/>
          <w:sz w:val="24"/>
        </w:rPr>
        <w:t xml:space="preserve">falta de </w:t>
      </w:r>
      <w:r>
        <w:rPr>
          <w:rFonts w:cs="Arial"/>
          <w:b/>
          <w:sz w:val="24"/>
        </w:rPr>
        <w:t>derecho</w:t>
      </w:r>
      <w:r>
        <w:rPr>
          <w:rFonts w:cs="Arial"/>
          <w:sz w:val="24"/>
        </w:rPr>
        <w:t xml:space="preserve"> del actor para impugnar el acto impugnado, dicha premisa ya fue atendida en el considerando que antecede, donde se consideró justificada la personalidad jurídica y legítima del actor para interponer el presente juicio de nulidad.</w:t>
      </w:r>
    </w:p>
    <w:p w:rsidR="00F00B54" w:rsidRDefault="00F00B54" w:rsidP="00F00B54">
      <w:pPr>
        <w:pStyle w:val="corte4fondoCarCarCar"/>
        <w:spacing w:before="240"/>
        <w:ind w:firstLine="708"/>
        <w:rPr>
          <w:rFonts w:cs="Arial"/>
          <w:sz w:val="24"/>
        </w:rPr>
      </w:pPr>
      <w:r>
        <w:rPr>
          <w:rFonts w:cs="Arial"/>
          <w:sz w:val="24"/>
        </w:rPr>
        <w:t xml:space="preserve">Luego entonces, al no actualizarse las excepciones que invocó la autoridad demandada, y al no actualizarse alguna otra causa que impida entrar al estudio de fondo, </w:t>
      </w:r>
      <w:r w:rsidRPr="00D1740B">
        <w:rPr>
          <w:rFonts w:cs="Arial"/>
          <w:b/>
          <w:sz w:val="24"/>
        </w:rPr>
        <w:t>NO SE SOBRESEE</w:t>
      </w:r>
      <w:r>
        <w:rPr>
          <w:rFonts w:cs="Arial"/>
          <w:b/>
          <w:sz w:val="24"/>
        </w:rPr>
        <w:t xml:space="preserve"> ESTE JUICIO</w:t>
      </w:r>
      <w:r>
        <w:rPr>
          <w:rFonts w:cs="Arial"/>
          <w:sz w:val="24"/>
        </w:rPr>
        <w:t xml:space="preserve">. - - - - - - - - - - - </w:t>
      </w:r>
    </w:p>
    <w:p w:rsidR="00F00B54" w:rsidRDefault="00F00B54" w:rsidP="00F00B54">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w:t>
      </w:r>
      <w:proofErr w:type="gramStart"/>
      <w:r w:rsidRPr="006D7488">
        <w:rPr>
          <w:rFonts w:ascii="Arial" w:hAnsi="Arial" w:cs="Arial"/>
          <w:b/>
          <w:sz w:val="24"/>
          <w:szCs w:val="24"/>
        </w:rPr>
        <w:t>SEXTO.-</w:t>
      </w:r>
      <w:proofErr w:type="gramEnd"/>
      <w:r>
        <w:rPr>
          <w:rFonts w:ascii="Arial" w:hAnsi="Arial" w:cs="Arial"/>
          <w:sz w:val="24"/>
          <w:szCs w:val="24"/>
        </w:rPr>
        <w:t xml:space="preserve"> </w:t>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dicho acto administrativo, violenta las disposiciones contenidas en los Artículos 14 y 16 de la Carta Magna, como lo refiere la actora, porque el ordenamiento legal primeramente citado, impone a toda autoridad la obligación de fundar y motivar correctamente sus actos, en este caso el acta de infracción, por ser un acto administrativo, lo que implica que en toda acta de infracción se deben señalar las circunstancias de hecho y de derecho, inmediatas anteriores al acto que se sanciona (motivación), pues incluso, el formato de infracción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plasmó: “</w:t>
      </w:r>
      <w:r>
        <w:rPr>
          <w:rFonts w:ascii="Arial" w:hAnsi="Arial" w:cs="Arial"/>
          <w:i/>
          <w:sz w:val="24"/>
          <w:szCs w:val="24"/>
        </w:rPr>
        <w:t>Artículo 106 fracción II</w:t>
      </w:r>
      <w:r>
        <w:rPr>
          <w:rFonts w:ascii="Arial" w:hAnsi="Arial" w:cs="Arial"/>
          <w:sz w:val="24"/>
          <w:szCs w:val="24"/>
        </w:rPr>
        <w:t xml:space="preserve">”;  y el correspondiente a la </w:t>
      </w:r>
      <w:r w:rsidRPr="009B6995">
        <w:rPr>
          <w:rFonts w:ascii="Arial" w:hAnsi="Arial" w:cs="Arial"/>
          <w:b/>
          <w:sz w:val="24"/>
          <w:szCs w:val="24"/>
          <w:u w:val="single"/>
        </w:rPr>
        <w:t>motivación</w:t>
      </w:r>
      <w:r>
        <w:rPr>
          <w:rFonts w:ascii="Arial" w:hAnsi="Arial" w:cs="Arial"/>
          <w:sz w:val="24"/>
          <w:szCs w:val="24"/>
        </w:rPr>
        <w:t xml:space="preserve"> plasmó: “</w:t>
      </w:r>
      <w:r>
        <w:rPr>
          <w:rFonts w:ascii="Arial" w:hAnsi="Arial" w:cs="Arial"/>
          <w:i/>
          <w:sz w:val="24"/>
          <w:szCs w:val="24"/>
        </w:rPr>
        <w:t>Por permitir sin precaución el ascenso y descenso de pasaje</w:t>
      </w:r>
      <w:r>
        <w:rPr>
          <w:rFonts w:ascii="Arial" w:hAnsi="Arial" w:cs="Arial"/>
          <w:sz w:val="24"/>
          <w:szCs w:val="24"/>
        </w:rPr>
        <w:t>””</w:t>
      </w:r>
      <w:r w:rsidRPr="002F1EB3">
        <w:rPr>
          <w:rFonts w:ascii="Arial" w:hAnsi="Arial" w:cs="Arial"/>
          <w:sz w:val="24"/>
          <w:szCs w:val="24"/>
        </w:rPr>
        <w:t>.</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w:t>
      </w:r>
      <w:proofErr w:type="spellStart"/>
      <w:r>
        <w:rPr>
          <w:rFonts w:ascii="Arial" w:hAnsi="Arial" w:cs="Arial"/>
          <w:sz w:val="24"/>
          <w:szCs w:val="24"/>
        </w:rPr>
        <w:t>sub-inciso</w:t>
      </w:r>
      <w:proofErr w:type="spellEnd"/>
      <w:r>
        <w:rPr>
          <w:rFonts w:ascii="Arial" w:hAnsi="Arial" w:cs="Arial"/>
          <w:sz w:val="24"/>
          <w:szCs w:val="24"/>
        </w:rPr>
        <w:t xml:space="preserve">,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w:t>
      </w:r>
      <w:r>
        <w:rPr>
          <w:rFonts w:ascii="Arial" w:hAnsi="Arial" w:cs="Arial"/>
          <w:sz w:val="24"/>
          <w:szCs w:val="24"/>
        </w:rPr>
        <w:lastRenderedPageBreak/>
        <w:t xml:space="preserve">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 las constancias de autos tenemos que el acta de infracción impugnada, no se encuentra motivada, ya que la autoridad demandada fundó su actuar en el artículo 106 fracción II, del Reglamento de Vialidad  para el Municipio de Oaxaca de Juárez, Oaxaca, </w:t>
      </w:r>
      <w:r w:rsidRPr="006418EE">
        <w:rPr>
          <w:rFonts w:ascii="Arial" w:hAnsi="Arial" w:cs="Arial"/>
          <w:sz w:val="24"/>
          <w:szCs w:val="24"/>
        </w:rPr>
        <w:t>el cual</w:t>
      </w:r>
      <w:r>
        <w:rPr>
          <w:rFonts w:ascii="Arial" w:hAnsi="Arial" w:cs="Arial"/>
          <w:b/>
          <w:sz w:val="24"/>
          <w:szCs w:val="24"/>
        </w:rPr>
        <w:t xml:space="preserve"> </w:t>
      </w:r>
      <w:r>
        <w:rPr>
          <w:rFonts w:ascii="Arial" w:hAnsi="Arial" w:cs="Arial"/>
          <w:sz w:val="24"/>
          <w:szCs w:val="24"/>
        </w:rPr>
        <w:t>dispone que los vehículos automotores destinados al transporte público de pasajeros, deben realizar maniobras de ascenso y descenso de pasajeros con precaución y solo en las zonas fijadas para tal efecto, a treinta centímetros del acera derecha en relación con su sentido de circulación y únicamente donde la autoridad señale la parada para este fin, y en donde no exista tal señalamiento el ascenso y descenso se hará mínimo cada trescientos metros o tres cuadras y en un tiempo máximo de espera de pasaje de dos minutos,…” y para motivar el hecho, el Policía Vial plasmó: “</w:t>
      </w:r>
      <w:r w:rsidRPr="00F1617E">
        <w:rPr>
          <w:rFonts w:ascii="Arial" w:hAnsi="Arial" w:cs="Arial"/>
          <w:i/>
          <w:sz w:val="24"/>
          <w:szCs w:val="24"/>
        </w:rPr>
        <w:t>por permitir sin precaución el ascenso y descenso de pasaje</w:t>
      </w:r>
      <w:r>
        <w:rPr>
          <w:rFonts w:ascii="Arial" w:hAnsi="Arial" w:cs="Arial"/>
          <w:sz w:val="24"/>
          <w:szCs w:val="24"/>
        </w:rPr>
        <w:t>”; luego entonces, no cita de manera precisa las circunstancias especiales, razones particulares o causas inmediatas que se tuvieron en cuenta para considerar la emisión del acto, pues el Policía Vial omitió precisar en qué consistió la falta de precaución en que incurrió el actor, porque no basta la sola mención de la falta de precaución, pues en la exposición debió narrar si había o no esos señalamientos, o a cuantos metros aproximadamente se efectuó el peaje, lo anterior para no dejar en estado de indefensión al actor e impedirle argumentar a su favor, por desconocer la causa cierta que omitió o realizó fuera de la ley, sin que esta autoridad pueda suplir la deficiencia de la queja en favor de la autoridad demandada, pues ésta figura únicamente se encuentra contemplada en favor del administrado, como lo dispone el artículo 149 de la Ley de Procedimiento y Justicia Administrativa para el Estado de Oaxaca.</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L</w:t>
      </w:r>
      <w:r w:rsidRPr="009244F7">
        <w:rPr>
          <w:rFonts w:ascii="Arial" w:hAnsi="Arial" w:cs="Arial"/>
          <w:sz w:val="24"/>
          <w:szCs w:val="24"/>
        </w:rPr>
        <w:t xml:space="preserve">a fundamentación y motivación, </w:t>
      </w:r>
      <w:r>
        <w:rPr>
          <w:rFonts w:ascii="Arial" w:hAnsi="Arial" w:cs="Arial"/>
          <w:sz w:val="24"/>
          <w:szCs w:val="24"/>
        </w:rPr>
        <w:t xml:space="preserve">son presupuestos </w:t>
      </w:r>
      <w:r w:rsidRPr="009244F7">
        <w:rPr>
          <w:rFonts w:ascii="Arial" w:hAnsi="Arial" w:cs="Arial"/>
          <w:sz w:val="24"/>
          <w:szCs w:val="24"/>
        </w:rPr>
        <w:t>que deben coexistir y se suponen mutuamente, pues no es posible citar disposiciones legales sin relacionarlas con los hechos de que se trate, ni exponer razones sobre hechos que carezcan de relevancia para dichas disposiciones. Esta correlación entre los fundamentos jurídicos y los motivos de hecho</w:t>
      </w:r>
      <w:r>
        <w:rPr>
          <w:rFonts w:ascii="Arial" w:hAnsi="Arial" w:cs="Arial"/>
          <w:sz w:val="24"/>
          <w:szCs w:val="24"/>
        </w:rPr>
        <w:t>,</w:t>
      </w:r>
      <w:r w:rsidRPr="009244F7">
        <w:rPr>
          <w:rFonts w:ascii="Arial" w:hAnsi="Arial" w:cs="Arial"/>
          <w:sz w:val="24"/>
          <w:szCs w:val="24"/>
        </w:rPr>
        <w:t xml:space="preserve"> supone necesariamente un razonamiento de la autoridad</w:t>
      </w:r>
      <w:r>
        <w:rPr>
          <w:rFonts w:ascii="Arial" w:hAnsi="Arial" w:cs="Arial"/>
          <w:sz w:val="24"/>
          <w:szCs w:val="24"/>
        </w:rPr>
        <w:t>,</w:t>
      </w:r>
      <w:r w:rsidRPr="009244F7">
        <w:rPr>
          <w:rFonts w:ascii="Arial" w:hAnsi="Arial" w:cs="Arial"/>
          <w:sz w:val="24"/>
          <w:szCs w:val="24"/>
        </w:rPr>
        <w:t xml:space="preserve"> para demostrar la </w:t>
      </w:r>
      <w:r w:rsidRPr="009244F7">
        <w:rPr>
          <w:rFonts w:ascii="Arial" w:hAnsi="Arial" w:cs="Arial"/>
          <w:sz w:val="24"/>
          <w:szCs w:val="24"/>
        </w:rPr>
        <w:lastRenderedPageBreak/>
        <w:t>aplicabilidad de los preceptos legales invocados a los hechos de que se trate, lo que en realidad implica la fundamentación y motivación de la causa legal del procedimiento</w:t>
      </w:r>
      <w:r>
        <w:rPr>
          <w:rFonts w:ascii="Arial" w:hAnsi="Arial" w:cs="Arial"/>
          <w:sz w:val="24"/>
          <w:szCs w:val="24"/>
        </w:rPr>
        <w:t>, lo que en el presente asunto no ocurrió.</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se advierte que el Policía Vial demandado, plasmó en el acta de infracción el código V-188,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 xml:space="preserve">legal que prevé el contenido de dicho Código, </w:t>
      </w:r>
      <w:r>
        <w:rPr>
          <w:rFonts w:ascii="Arial" w:hAnsi="Arial" w:cs="Arial"/>
          <w:sz w:val="24"/>
          <w:szCs w:val="24"/>
        </w:rPr>
        <w:t xml:space="preserve">para que </w:t>
      </w:r>
      <w:r w:rsidRPr="001C4EEE">
        <w:rPr>
          <w:rFonts w:ascii="Arial" w:hAnsi="Arial" w:cs="Arial"/>
          <w:sz w:val="24"/>
          <w:szCs w:val="24"/>
        </w:rPr>
        <w:t>l</w:t>
      </w:r>
      <w:r>
        <w:rPr>
          <w:rFonts w:ascii="Arial" w:hAnsi="Arial" w:cs="Arial"/>
          <w:sz w:val="24"/>
          <w:szCs w:val="24"/>
        </w:rPr>
        <w:t>a</w:t>
      </w:r>
      <w:r w:rsidRPr="001C4EEE">
        <w:rPr>
          <w:rFonts w:ascii="Arial" w:hAnsi="Arial" w:cs="Arial"/>
          <w:sz w:val="24"/>
          <w:szCs w:val="24"/>
        </w:rPr>
        <w:t xml:space="preserve"> </w:t>
      </w:r>
      <w:r>
        <w:rPr>
          <w:rFonts w:ascii="Arial" w:hAnsi="Arial" w:cs="Arial"/>
          <w:sz w:val="24"/>
          <w:szCs w:val="24"/>
        </w:rPr>
        <w:t xml:space="preserve">parte </w:t>
      </w:r>
      <w:r w:rsidRPr="001C4EEE">
        <w:rPr>
          <w:rFonts w:ascii="Arial" w:hAnsi="Arial" w:cs="Arial"/>
          <w:sz w:val="24"/>
          <w:szCs w:val="24"/>
        </w:rPr>
        <w:t>actor</w:t>
      </w:r>
      <w:r>
        <w:rPr>
          <w:rFonts w:ascii="Arial" w:hAnsi="Arial" w:cs="Arial"/>
          <w:sz w:val="24"/>
          <w:szCs w:val="24"/>
        </w:rPr>
        <w:t>a</w:t>
      </w:r>
      <w:r w:rsidRPr="001C4EEE">
        <w:rPr>
          <w:rFonts w:ascii="Arial" w:hAnsi="Arial" w:cs="Arial"/>
          <w:sz w:val="24"/>
          <w:szCs w:val="24"/>
        </w:rPr>
        <w:t xml:space="preserve">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las faltas cometidas, y al no hacerlo, también violentó en perjuicio de ésta, la garantía de seguridad jurídica que tiene todo gobernado, contenida en los artículos 14 y 16 de la Constitución Política de los Estados Unidos Mexicanos, no pasando desapercibido el hecho de que en el acta en estudio en la parte superior se encuentra plasmado el artículo 149 del Reglamento de Vialidad para el Municipio de Oaxaca de Juárez, Oaxaca, que le otorga la facultad al Policía Vial de correlacionar las hipótesis contenidas en dicho ordenamiento legal con las sanciones establecidas en la ley de Ingresos vigente para el Municipio de Oaxaca de Juárez, empero, ello no lo exime de su obligación de señalar la normatividad que contempla el código que señaló en el acta de infracción.</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 xml:space="preserve">fundándolas y motivándolas correctamente, evitando abreviaturas o signos que impidan la comprensión del </w:t>
      </w:r>
      <w:proofErr w:type="gramStart"/>
      <w:r w:rsidRPr="00AB5679">
        <w:rPr>
          <w:rFonts w:ascii="Arial" w:hAnsi="Arial" w:cs="Arial"/>
          <w:b/>
          <w:i/>
          <w:sz w:val="24"/>
          <w:szCs w:val="24"/>
        </w:rPr>
        <w:t>contenido</w:t>
      </w:r>
      <w:r w:rsidRPr="00AB5679">
        <w:rPr>
          <w:rFonts w:ascii="Arial" w:hAnsi="Arial" w:cs="Arial"/>
          <w:i/>
          <w:sz w:val="24"/>
          <w:szCs w:val="24"/>
        </w:rPr>
        <w:t>;…</w:t>
      </w:r>
      <w:proofErr w:type="gramEnd"/>
      <w:r>
        <w:rPr>
          <w:rFonts w:ascii="Arial" w:hAnsi="Arial" w:cs="Arial"/>
          <w:sz w:val="24"/>
          <w:szCs w:val="24"/>
        </w:rPr>
        <w:t>”.</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Además, en el artículo 129 del citado Reglamento, se establecen las circunstancias que debieron haber sido observadas por el Policía Vial, al elaborar el acta de infracción, advirtiendo esta Juzgadora que se dejó de </w:t>
      </w:r>
      <w:r>
        <w:rPr>
          <w:rFonts w:ascii="Arial" w:hAnsi="Arial" w:cs="Arial"/>
          <w:sz w:val="24"/>
          <w:szCs w:val="24"/>
        </w:rPr>
        <w:lastRenderedPageBreak/>
        <w:t>observar lo establecido en los incisos j) y k), de dicho numeral, al carecer de debida fundame</w:t>
      </w:r>
      <w:r w:rsidRPr="00E473FA">
        <w:rPr>
          <w:rFonts w:ascii="Arial" w:hAnsi="Arial" w:cs="Arial"/>
          <w:sz w:val="24"/>
          <w:szCs w:val="24"/>
        </w:rPr>
        <w:t>ntac</w:t>
      </w:r>
      <w:r>
        <w:rPr>
          <w:rFonts w:ascii="Arial" w:hAnsi="Arial" w:cs="Arial"/>
          <w:sz w:val="24"/>
          <w:szCs w:val="24"/>
        </w:rPr>
        <w:t xml:space="preserve">ión y motivación el acta levantada con motivo de la </w:t>
      </w:r>
      <w:r w:rsidRPr="000D3A91">
        <w:rPr>
          <w:rFonts w:ascii="Arial" w:hAnsi="Arial" w:cs="Arial"/>
          <w:sz w:val="24"/>
          <w:szCs w:val="24"/>
        </w:rPr>
        <w:t>infracción, porque como ya se 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sidRPr="00AA2818">
        <w:rPr>
          <w:rFonts w:ascii="Arial" w:hAnsi="Arial" w:cs="Arial"/>
          <w:sz w:val="24"/>
          <w:szCs w:val="24"/>
        </w:rPr>
        <w:t xml:space="preserve">vehículo </w:t>
      </w:r>
      <w:r w:rsidRPr="00A17FFD">
        <w:rPr>
          <w:rFonts w:ascii="Arial" w:hAnsi="Arial" w:cs="Arial"/>
          <w:sz w:val="24"/>
          <w:szCs w:val="24"/>
        </w:rPr>
        <w:t xml:space="preserve">con placas de circulación </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 xml:space="preserve"> del Estado de Oaxaca, incurrió en una falta administrativa, específicamente señalada en el Reglamento de Vialidad y con ese actuar; pues para que una multa por infracción al Reglamento de Tránsito esté debidamente fundada y motivada, se requiere 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17 de la Ley de Procedimiento y Justicia Administrativa para el Estado de Oaxaca, que establecen lo relativo a los elementos y requisitos de validez que debe contener el acto administrativo, obligación de toda autoridad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1917-2000.</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declarado inconstitucional el acto impugnado, lo procedente es conforme a la fracción II del artículo 208 de la Ley de Procedimiento y Justicia Administrativa para el Estado de Oaxaca, declarar </w:t>
      </w:r>
      <w:r>
        <w:rPr>
          <w:rFonts w:ascii="Arial" w:hAnsi="Arial" w:cs="Arial"/>
          <w:b/>
          <w:sz w:val="24"/>
          <w:szCs w:val="24"/>
        </w:rPr>
        <w:t xml:space="preserve">la NULIDAD LISA Y LLANA del acta de infracción de tránsito con número de folio </w:t>
      </w:r>
      <w:r w:rsidR="007A4873">
        <w:rPr>
          <w:rFonts w:ascii="Arial" w:hAnsi="Arial" w:cs="Arial"/>
          <w:b/>
          <w:sz w:val="24"/>
          <w:szCs w:val="24"/>
        </w:rPr>
        <w:t>****</w:t>
      </w:r>
      <w:r>
        <w:rPr>
          <w:rFonts w:ascii="Arial" w:hAnsi="Arial" w:cs="Arial"/>
          <w:b/>
          <w:sz w:val="24"/>
          <w:szCs w:val="24"/>
        </w:rPr>
        <w:t xml:space="preserve">, de </w:t>
      </w:r>
      <w:r w:rsidR="007A4873">
        <w:rPr>
          <w:rFonts w:ascii="Arial" w:hAnsi="Arial" w:cs="Arial"/>
          <w:b/>
          <w:sz w:val="24"/>
          <w:szCs w:val="24"/>
        </w:rPr>
        <w:t>****</w:t>
      </w:r>
      <w:r>
        <w:rPr>
          <w:rFonts w:ascii="Arial" w:hAnsi="Arial" w:cs="Arial"/>
          <w:b/>
          <w:sz w:val="24"/>
          <w:szCs w:val="24"/>
        </w:rPr>
        <w:t xml:space="preserve"> de </w:t>
      </w:r>
      <w:r w:rsidR="007A4873">
        <w:rPr>
          <w:rFonts w:ascii="Arial" w:hAnsi="Arial" w:cs="Arial"/>
          <w:b/>
          <w:sz w:val="24"/>
          <w:szCs w:val="24"/>
        </w:rPr>
        <w:t>*****</w:t>
      </w:r>
      <w:r>
        <w:rPr>
          <w:rFonts w:ascii="Arial" w:hAnsi="Arial" w:cs="Arial"/>
          <w:b/>
          <w:sz w:val="24"/>
          <w:szCs w:val="24"/>
        </w:rPr>
        <w:t xml:space="preserve"> de dos mil dieciocho (</w:t>
      </w:r>
      <w:r w:rsidR="007A4873">
        <w:rPr>
          <w:rFonts w:ascii="Arial" w:hAnsi="Arial" w:cs="Arial"/>
          <w:b/>
          <w:sz w:val="24"/>
          <w:szCs w:val="24"/>
        </w:rPr>
        <w:t>**</w:t>
      </w:r>
      <w:r>
        <w:rPr>
          <w:rFonts w:ascii="Arial" w:hAnsi="Arial" w:cs="Arial"/>
          <w:b/>
          <w:sz w:val="24"/>
          <w:szCs w:val="24"/>
        </w:rPr>
        <w:t>/</w:t>
      </w:r>
      <w:r w:rsidR="007A4873">
        <w:rPr>
          <w:rFonts w:ascii="Arial" w:hAnsi="Arial" w:cs="Arial"/>
          <w:b/>
          <w:sz w:val="24"/>
          <w:szCs w:val="24"/>
        </w:rPr>
        <w:t>**</w:t>
      </w:r>
      <w:r>
        <w:rPr>
          <w:rFonts w:ascii="Arial" w:hAnsi="Arial" w:cs="Arial"/>
          <w:b/>
          <w:sz w:val="24"/>
          <w:szCs w:val="24"/>
        </w:rPr>
        <w:t xml:space="preserve">/2018), </w:t>
      </w:r>
      <w:r w:rsidRPr="00533A65">
        <w:rPr>
          <w:rFonts w:ascii="Arial" w:hAnsi="Arial" w:cs="Arial"/>
          <w:sz w:val="24"/>
          <w:szCs w:val="24"/>
        </w:rPr>
        <w:t>relacionada a</w:t>
      </w:r>
      <w:r>
        <w:rPr>
          <w:rFonts w:ascii="Arial" w:hAnsi="Arial" w:cs="Arial"/>
          <w:sz w:val="24"/>
          <w:szCs w:val="24"/>
        </w:rPr>
        <w:t xml:space="preserve">l vehículo destinado al servicio público de transporte, </w:t>
      </w:r>
      <w:r w:rsidRPr="00A17FFD">
        <w:rPr>
          <w:rFonts w:ascii="Arial" w:hAnsi="Arial" w:cs="Arial"/>
          <w:sz w:val="24"/>
          <w:szCs w:val="24"/>
        </w:rPr>
        <w:t xml:space="preserve">con placas de circulación </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 xml:space="preserve"> del Estado de Oaxaca, emitida </w:t>
      </w:r>
      <w:r w:rsidRPr="00DA48D3">
        <w:rPr>
          <w:rFonts w:ascii="Arial" w:hAnsi="Arial" w:cs="Arial"/>
          <w:sz w:val="24"/>
          <w:szCs w:val="24"/>
        </w:rPr>
        <w:t xml:space="preserve">por </w:t>
      </w:r>
      <w:r>
        <w:rPr>
          <w:rFonts w:ascii="Arial" w:hAnsi="Arial" w:cs="Arial"/>
          <w:sz w:val="24"/>
        </w:rPr>
        <w:t>el</w:t>
      </w:r>
      <w:r w:rsidRPr="002818DE">
        <w:rPr>
          <w:rFonts w:ascii="Arial" w:hAnsi="Arial" w:cs="Arial"/>
          <w:sz w:val="24"/>
        </w:rPr>
        <w:t xml:space="preserve"> </w:t>
      </w:r>
      <w:r>
        <w:rPr>
          <w:rFonts w:ascii="Arial" w:hAnsi="Arial" w:cs="Arial"/>
          <w:bCs/>
          <w:sz w:val="24"/>
        </w:rPr>
        <w:t>C. LUIS PEDRO CRUZ SUMANO</w:t>
      </w:r>
      <w:r>
        <w:rPr>
          <w:rFonts w:ascii="Arial" w:hAnsi="Arial" w:cs="Arial"/>
          <w:sz w:val="24"/>
          <w:szCs w:val="24"/>
        </w:rPr>
        <w:t xml:space="preserve">, Policía Vial con número estadístico 132 de la Comisaría de Vialidad del Municipio de Oaxaca de Juárez; y como consecuencia de ello, </w:t>
      </w:r>
      <w:r>
        <w:rPr>
          <w:rFonts w:ascii="Arial" w:hAnsi="Arial" w:cs="Arial"/>
          <w:b/>
          <w:sz w:val="24"/>
          <w:szCs w:val="24"/>
        </w:rPr>
        <w:t xml:space="preserve">habrán de restituirse los derechos ilegalmente violentados de la actora,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al Policía Vial demandado, realizar las gestiones necesarias para la cancelación del acta de infracción en el sistema electrónico con que cuenta la Comisaría de Vialidad Municipal.</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Lo anterior, por considerarse ese acto como consecuente, o derivado del impugnado; por lo que la autoridad demandada deberá cumplirlo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rsidR="00F00B5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 - - </w:t>
      </w:r>
    </w:p>
    <w:p w:rsidR="007A4873" w:rsidRDefault="007A4873" w:rsidP="00F00B54">
      <w:pPr>
        <w:tabs>
          <w:tab w:val="center" w:pos="4574"/>
        </w:tabs>
        <w:spacing w:line="360" w:lineRule="auto"/>
        <w:ind w:firstLine="708"/>
        <w:jc w:val="both"/>
        <w:rPr>
          <w:rFonts w:ascii="Arial" w:hAnsi="Arial" w:cs="Arial"/>
          <w:sz w:val="24"/>
          <w:szCs w:val="24"/>
        </w:rPr>
      </w:pPr>
    </w:p>
    <w:p w:rsidR="007A4873" w:rsidRDefault="007A4873" w:rsidP="00F00B54">
      <w:pPr>
        <w:tabs>
          <w:tab w:val="center" w:pos="4574"/>
        </w:tabs>
        <w:spacing w:line="360" w:lineRule="auto"/>
        <w:ind w:firstLine="708"/>
        <w:jc w:val="both"/>
        <w:rPr>
          <w:rFonts w:ascii="Arial" w:hAnsi="Arial" w:cs="Arial"/>
          <w:sz w:val="24"/>
          <w:szCs w:val="24"/>
        </w:rPr>
      </w:pPr>
    </w:p>
    <w:p w:rsidR="00F00B54" w:rsidRDefault="00F00B54" w:rsidP="00F00B54">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F00B54" w:rsidRDefault="00F00B54" w:rsidP="00F00B54">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 </w:t>
      </w:r>
    </w:p>
    <w:p w:rsidR="00F00B54" w:rsidRDefault="00F00B54" w:rsidP="00F00B54">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No se actualizó causal de improcedencia alguna, por lo que NO SE SOBRESEE EL JUICIO, en términos del considerando QUINTO de esta resolución.- - - - - - - - - - - - - - - - - - - - - - - - - - - - - - - - - - - - - - - - - - -</w:t>
      </w:r>
    </w:p>
    <w:p w:rsidR="00F00B54" w:rsidRDefault="00F00B54" w:rsidP="00F00B54">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del </w:t>
      </w:r>
      <w:r w:rsidRPr="002F09D4">
        <w:rPr>
          <w:rFonts w:ascii="Arial" w:hAnsi="Arial" w:cs="Arial"/>
          <w:sz w:val="24"/>
          <w:szCs w:val="24"/>
        </w:rPr>
        <w:t xml:space="preserve">acta de infracción de tránsito con número de folio </w:t>
      </w:r>
      <w:r w:rsidR="007A4873">
        <w:rPr>
          <w:rFonts w:ascii="Arial" w:hAnsi="Arial" w:cs="Arial"/>
          <w:sz w:val="24"/>
          <w:szCs w:val="24"/>
        </w:rPr>
        <w:t>*****</w:t>
      </w:r>
      <w:r w:rsidRPr="002F09D4">
        <w:rPr>
          <w:rFonts w:ascii="Arial" w:hAnsi="Arial" w:cs="Arial"/>
          <w:sz w:val="24"/>
          <w:szCs w:val="24"/>
        </w:rPr>
        <w:t xml:space="preserve">, de </w:t>
      </w:r>
      <w:r w:rsidR="007A4873">
        <w:rPr>
          <w:rFonts w:ascii="Arial" w:hAnsi="Arial" w:cs="Arial"/>
          <w:sz w:val="24"/>
          <w:szCs w:val="24"/>
        </w:rPr>
        <w:t>*****</w:t>
      </w:r>
      <w:r>
        <w:rPr>
          <w:rFonts w:ascii="Arial" w:hAnsi="Arial" w:cs="Arial"/>
          <w:sz w:val="24"/>
          <w:szCs w:val="24"/>
        </w:rPr>
        <w:t xml:space="preserve"> de </w:t>
      </w:r>
      <w:r w:rsidR="007A4873">
        <w:rPr>
          <w:rFonts w:ascii="Arial" w:hAnsi="Arial" w:cs="Arial"/>
          <w:sz w:val="24"/>
          <w:szCs w:val="24"/>
        </w:rPr>
        <w:t>*****</w:t>
      </w:r>
      <w:r>
        <w:rPr>
          <w:rFonts w:ascii="Arial" w:hAnsi="Arial" w:cs="Arial"/>
          <w:sz w:val="24"/>
          <w:szCs w:val="24"/>
        </w:rPr>
        <w:t xml:space="preserve"> de dos mil dieciocho (</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/2018)</w:t>
      </w:r>
      <w:r w:rsidRPr="002F09D4">
        <w:rPr>
          <w:rFonts w:ascii="Arial" w:hAnsi="Arial" w:cs="Arial"/>
          <w:sz w:val="24"/>
          <w:szCs w:val="24"/>
        </w:rPr>
        <w:t xml:space="preserve">, </w:t>
      </w:r>
      <w:r w:rsidRPr="00533A65">
        <w:rPr>
          <w:rFonts w:ascii="Arial" w:hAnsi="Arial" w:cs="Arial"/>
          <w:sz w:val="24"/>
          <w:szCs w:val="24"/>
        </w:rPr>
        <w:t>relacionada a</w:t>
      </w:r>
      <w:r>
        <w:rPr>
          <w:rFonts w:ascii="Arial" w:hAnsi="Arial" w:cs="Arial"/>
          <w:sz w:val="24"/>
          <w:szCs w:val="24"/>
        </w:rPr>
        <w:t xml:space="preserve">l vehículo destinado al servicio público de transporte </w:t>
      </w:r>
      <w:r w:rsidRPr="00A17FFD">
        <w:rPr>
          <w:rFonts w:ascii="Arial" w:hAnsi="Arial" w:cs="Arial"/>
          <w:sz w:val="24"/>
          <w:szCs w:val="24"/>
        </w:rPr>
        <w:t xml:space="preserve">con placas de circulación </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w:t>
      </w:r>
      <w:r w:rsidR="007A4873">
        <w:rPr>
          <w:rFonts w:ascii="Arial" w:hAnsi="Arial" w:cs="Arial"/>
          <w:sz w:val="24"/>
          <w:szCs w:val="24"/>
        </w:rPr>
        <w:t>***</w:t>
      </w:r>
      <w:r>
        <w:rPr>
          <w:rFonts w:ascii="Arial" w:hAnsi="Arial" w:cs="Arial"/>
          <w:sz w:val="24"/>
          <w:szCs w:val="24"/>
        </w:rPr>
        <w:t xml:space="preserve"> del Estado de Oaxaca, emitida </w:t>
      </w:r>
      <w:r w:rsidRPr="00DA48D3">
        <w:rPr>
          <w:rFonts w:ascii="Arial" w:hAnsi="Arial" w:cs="Arial"/>
          <w:sz w:val="24"/>
          <w:szCs w:val="24"/>
        </w:rPr>
        <w:t xml:space="preserve">por </w:t>
      </w:r>
      <w:r>
        <w:rPr>
          <w:rFonts w:ascii="Arial" w:hAnsi="Arial" w:cs="Arial"/>
          <w:sz w:val="24"/>
          <w:szCs w:val="24"/>
        </w:rPr>
        <w:t>el</w:t>
      </w:r>
      <w:r w:rsidRPr="002818DE">
        <w:rPr>
          <w:rFonts w:ascii="Arial" w:hAnsi="Arial" w:cs="Arial"/>
          <w:sz w:val="24"/>
        </w:rPr>
        <w:t xml:space="preserve"> </w:t>
      </w:r>
      <w:r>
        <w:rPr>
          <w:rFonts w:ascii="Arial" w:hAnsi="Arial" w:cs="Arial"/>
          <w:bCs/>
          <w:sz w:val="24"/>
        </w:rPr>
        <w:t>C. LUIS PEDRO CRUZ SUMANO</w:t>
      </w:r>
      <w:r>
        <w:rPr>
          <w:rFonts w:ascii="Arial" w:hAnsi="Arial" w:cs="Arial"/>
          <w:sz w:val="24"/>
          <w:szCs w:val="24"/>
        </w:rPr>
        <w:t xml:space="preserve">, Policía Vial con número estadístico 132 de la Comisaría de Vialidad del Municipio de Oaxaca de Juárez;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 autoridad demandada, realice las gestiones necesarias para la cancelación del acta de infracción en el sistema electrónico con que cuenta la Comisaría de Vialidad a la que pertenece; lo anterior en términos precisados en el considerando SEXTO de esta resolución. - - - - - - - - - - - - - - - - - - - - - - - - - - </w:t>
      </w:r>
      <w:r w:rsidR="007A4873">
        <w:rPr>
          <w:rFonts w:ascii="Arial" w:hAnsi="Arial" w:cs="Arial"/>
          <w:sz w:val="24"/>
          <w:szCs w:val="24"/>
        </w:rPr>
        <w:t xml:space="preserve">- - - - - - - - - - </w:t>
      </w:r>
      <w:bookmarkStart w:id="0" w:name="_GoBack"/>
      <w:bookmarkEnd w:id="0"/>
    </w:p>
    <w:p w:rsidR="00F00B54" w:rsidRDefault="00F00B54" w:rsidP="00F00B54">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Pr>
          <w:rFonts w:ascii="Arial" w:hAnsi="Arial" w:cs="Arial"/>
          <w:sz w:val="24"/>
          <w:szCs w:val="24"/>
        </w:rPr>
        <w:t xml:space="preserve">- - - - - - - - - - - - - - </w:t>
      </w:r>
    </w:p>
    <w:p w:rsidR="00F00B54" w:rsidRPr="00746184" w:rsidRDefault="00F00B54" w:rsidP="00F00B54">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F54AAF">
        <w:rPr>
          <w:rFonts w:ascii="Arial" w:hAnsi="Arial" w:cs="Arial"/>
          <w:sz w:val="24"/>
          <w:szCs w:val="24"/>
        </w:rPr>
        <w:t xml:space="preserve">- - - - - - - - - - - </w:t>
      </w:r>
    </w:p>
    <w:p w:rsidR="0001581F" w:rsidRPr="007E7BD4" w:rsidRDefault="0001581F" w:rsidP="007E7BD4"/>
    <w:sectPr w:rsidR="0001581F" w:rsidRPr="007E7BD4" w:rsidSect="007A4873">
      <w:headerReference w:type="even" r:id="rId8"/>
      <w:headerReference w:type="default" r:id="rId9"/>
      <w:footerReference w:type="default" r:id="rId10"/>
      <w:headerReference w:type="first" r:id="rId11"/>
      <w:pgSz w:w="12240" w:h="20160" w:code="5"/>
      <w:pgMar w:top="851" w:right="1701" w:bottom="354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27" w:rsidRDefault="002A5227" w:rsidP="00D833EF">
      <w:pPr>
        <w:spacing w:after="0" w:line="240" w:lineRule="auto"/>
      </w:pPr>
      <w:r>
        <w:separator/>
      </w:r>
    </w:p>
  </w:endnote>
  <w:endnote w:type="continuationSeparator" w:id="0">
    <w:p w:rsidR="002A5227" w:rsidRDefault="002A5227"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2A5227"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54AAF" w:rsidRPr="00F54AAF">
                      <w:rPr>
                        <w:noProof/>
                        <w:color w:val="000000" w:themeColor="text1"/>
                        <w:lang w:val="es-ES"/>
                      </w:rPr>
                      <w:t>12</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27" w:rsidRDefault="002A5227" w:rsidP="00D833EF">
      <w:pPr>
        <w:spacing w:after="0" w:line="240" w:lineRule="auto"/>
      </w:pPr>
      <w:r>
        <w:separator/>
      </w:r>
    </w:p>
  </w:footnote>
  <w:footnote w:type="continuationSeparator" w:id="0">
    <w:p w:rsidR="002A5227" w:rsidRDefault="002A5227"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7A4873">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05pt;margin-top:384.7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7A4873" w:rsidRPr="003B6E97" w:rsidRDefault="007A4873" w:rsidP="007A4873">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0735"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7A4873"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0736"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97.8pt;margin-top:380.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7A4873" w:rsidRPr="003B6E97" w:rsidRDefault="007A4873" w:rsidP="007A4873">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2A5227">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159E94F5" wp14:editId="7FC545DB">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7E7BD4">
      <w:rPr>
        <w:rFonts w:ascii="Bookman Old Style" w:hAnsi="Bookman Old Style"/>
        <w:b/>
      </w:rPr>
      <w:t>059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BD2E9E">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059B0497" wp14:editId="270BCC14">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7A487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0734"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581F"/>
    <w:rsid w:val="000212E5"/>
    <w:rsid w:val="000230A8"/>
    <w:rsid w:val="000247D6"/>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103F"/>
    <w:rsid w:val="00141E5F"/>
    <w:rsid w:val="001426A4"/>
    <w:rsid w:val="00142F70"/>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4DFA"/>
    <w:rsid w:val="00235314"/>
    <w:rsid w:val="00237957"/>
    <w:rsid w:val="00241BD9"/>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5227"/>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A727D"/>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55E"/>
    <w:rsid w:val="004C0100"/>
    <w:rsid w:val="004C19E1"/>
    <w:rsid w:val="004C3AEF"/>
    <w:rsid w:val="004C4512"/>
    <w:rsid w:val="004C6630"/>
    <w:rsid w:val="004D332C"/>
    <w:rsid w:val="004D4EC9"/>
    <w:rsid w:val="004D66AF"/>
    <w:rsid w:val="004D6F23"/>
    <w:rsid w:val="004D76F4"/>
    <w:rsid w:val="004E2544"/>
    <w:rsid w:val="004E4BD1"/>
    <w:rsid w:val="004E52D5"/>
    <w:rsid w:val="004E6DA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202"/>
    <w:rsid w:val="00766BA2"/>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1B43"/>
    <w:rsid w:val="007A33C7"/>
    <w:rsid w:val="007A44EC"/>
    <w:rsid w:val="007A4873"/>
    <w:rsid w:val="007B21D4"/>
    <w:rsid w:val="007B3C66"/>
    <w:rsid w:val="007B61FC"/>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6ECD"/>
    <w:rsid w:val="00857387"/>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70E0"/>
    <w:rsid w:val="009F7625"/>
    <w:rsid w:val="00A00DAA"/>
    <w:rsid w:val="00A00EC9"/>
    <w:rsid w:val="00A0168B"/>
    <w:rsid w:val="00A0277F"/>
    <w:rsid w:val="00A02913"/>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470C"/>
    <w:rsid w:val="00A9620B"/>
    <w:rsid w:val="00A9687B"/>
    <w:rsid w:val="00AA035B"/>
    <w:rsid w:val="00AA03EF"/>
    <w:rsid w:val="00AA0B70"/>
    <w:rsid w:val="00AA1783"/>
    <w:rsid w:val="00AA17A3"/>
    <w:rsid w:val="00AA2E42"/>
    <w:rsid w:val="00AA3455"/>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41A3"/>
    <w:rsid w:val="00F44615"/>
    <w:rsid w:val="00F44CCA"/>
    <w:rsid w:val="00F45DC5"/>
    <w:rsid w:val="00F46D72"/>
    <w:rsid w:val="00F5035E"/>
    <w:rsid w:val="00F50E48"/>
    <w:rsid w:val="00F51975"/>
    <w:rsid w:val="00F51B2A"/>
    <w:rsid w:val="00F539B1"/>
    <w:rsid w:val="00F54AAF"/>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15258F6"/>
  <w15:docId w15:val="{DFA199F4-82B0-467B-A0B9-3B72F06B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6AAC-4545-4650-BA47-49C0D384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12</Pages>
  <Words>4311</Words>
  <Characters>23715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891</cp:revision>
  <cp:lastPrinted>2019-02-19T16:16:00Z</cp:lastPrinted>
  <dcterms:created xsi:type="dcterms:W3CDTF">2016-06-06T18:19:00Z</dcterms:created>
  <dcterms:modified xsi:type="dcterms:W3CDTF">2019-04-08T20:41:00Z</dcterms:modified>
</cp:coreProperties>
</file>