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D2" w:rsidRDefault="00A357D2" w:rsidP="00A357D2">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A357D2" w:rsidRDefault="00A357D2" w:rsidP="00A357D2">
      <w:pPr>
        <w:spacing w:line="360" w:lineRule="auto"/>
        <w:jc w:val="both"/>
        <w:rPr>
          <w:rFonts w:ascii="Arial" w:hAnsi="Arial" w:cs="Arial"/>
          <w:b/>
          <w:sz w:val="24"/>
          <w:szCs w:val="24"/>
        </w:rPr>
      </w:pPr>
      <w:r>
        <w:rPr>
          <w:rFonts w:ascii="Arial" w:hAnsi="Arial" w:cs="Arial"/>
          <w:b/>
          <w:sz w:val="24"/>
          <w:szCs w:val="24"/>
        </w:rPr>
        <w:t>OAXACA DE JUÁREZ, OAXACA; A VEINTI</w:t>
      </w:r>
      <w:r w:rsidR="00282C25">
        <w:rPr>
          <w:rFonts w:ascii="Arial" w:hAnsi="Arial" w:cs="Arial"/>
          <w:b/>
          <w:sz w:val="24"/>
          <w:szCs w:val="24"/>
        </w:rPr>
        <w:t xml:space="preserve">CINCO </w:t>
      </w:r>
      <w:r>
        <w:rPr>
          <w:rFonts w:ascii="Arial" w:hAnsi="Arial" w:cs="Arial"/>
          <w:b/>
          <w:sz w:val="24"/>
          <w:szCs w:val="24"/>
        </w:rPr>
        <w:t>DE O</w:t>
      </w:r>
      <w:r w:rsidR="00C26F04">
        <w:rPr>
          <w:rFonts w:ascii="Arial" w:hAnsi="Arial" w:cs="Arial"/>
          <w:b/>
          <w:sz w:val="24"/>
          <w:szCs w:val="24"/>
        </w:rPr>
        <w:t>CTUBRE DE DOS MIL DIECINUEVE (25</w:t>
      </w:r>
      <w:r>
        <w:rPr>
          <w:rFonts w:ascii="Arial" w:hAnsi="Arial" w:cs="Arial"/>
          <w:b/>
          <w:sz w:val="24"/>
          <w:szCs w:val="24"/>
        </w:rPr>
        <w:t xml:space="preserve">/10/2019). - - - - - - - - - - - - - - - - - - - - - - - - - - - </w:t>
      </w:r>
      <w:r w:rsidR="00282C25">
        <w:rPr>
          <w:rFonts w:ascii="Arial" w:hAnsi="Arial" w:cs="Arial"/>
          <w:b/>
          <w:sz w:val="24"/>
          <w:szCs w:val="24"/>
        </w:rPr>
        <w:t xml:space="preserve">- - - - - </w:t>
      </w:r>
    </w:p>
    <w:p w:rsidR="00A357D2" w:rsidRDefault="00A357D2" w:rsidP="00A357D2">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015/2019, promovido por </w:t>
      </w:r>
      <w:r w:rsidR="0015109E">
        <w:rPr>
          <w:rFonts w:ascii="Arial" w:hAnsi="Arial" w:cs="Arial"/>
          <w:sz w:val="24"/>
          <w:szCs w:val="24"/>
        </w:rPr>
        <w:t>***** ***** ***** *****</w:t>
      </w:r>
      <w:r>
        <w:rPr>
          <w:rFonts w:ascii="Arial" w:hAnsi="Arial" w:cs="Arial"/>
          <w:sz w:val="24"/>
          <w:szCs w:val="24"/>
        </w:rPr>
        <w:t xml:space="preserve">, solicitando la nulidad de la resolución contenida en el oficio número </w:t>
      </w:r>
      <w:r w:rsidR="0015109E">
        <w:rPr>
          <w:rFonts w:ascii="Arial" w:hAnsi="Arial" w:cs="Arial"/>
          <w:sz w:val="24"/>
          <w:szCs w:val="24"/>
        </w:rPr>
        <w:t>OP/DG/DPE/***/2019</w:t>
      </w:r>
      <w:r>
        <w:rPr>
          <w:rFonts w:ascii="Arial" w:hAnsi="Arial" w:cs="Arial"/>
          <w:sz w:val="24"/>
          <w:szCs w:val="24"/>
        </w:rPr>
        <w:t xml:space="preserve">, suscrito por el Director General de la Oficina de Pensiones del Estado de Oaxaca, negándole la devolución de aportaciones descontadas durante el tiempo que laboró, por concepto de “FONDO DE PENSIONES”; y, - - - - - - - - - - - - </w:t>
      </w:r>
      <w:r w:rsidR="001D595D">
        <w:rPr>
          <w:rFonts w:ascii="Arial" w:hAnsi="Arial" w:cs="Arial"/>
          <w:sz w:val="24"/>
          <w:szCs w:val="24"/>
        </w:rPr>
        <w:t xml:space="preserve">- - - - </w:t>
      </w:r>
      <w:r w:rsidR="0015109E">
        <w:rPr>
          <w:rFonts w:ascii="Arial" w:hAnsi="Arial" w:cs="Arial"/>
          <w:sz w:val="24"/>
          <w:szCs w:val="24"/>
        </w:rPr>
        <w:t xml:space="preserve">- - - - - - - - - - - - - - - - - - </w:t>
      </w:r>
    </w:p>
    <w:p w:rsidR="00A357D2" w:rsidRDefault="00A357D2" w:rsidP="00A357D2">
      <w:pPr>
        <w:spacing w:line="360" w:lineRule="auto"/>
        <w:jc w:val="center"/>
        <w:rPr>
          <w:rFonts w:ascii="Arial" w:hAnsi="Arial" w:cs="Arial"/>
          <w:b/>
          <w:sz w:val="24"/>
          <w:szCs w:val="24"/>
        </w:rPr>
      </w:pPr>
      <w:r>
        <w:rPr>
          <w:rFonts w:ascii="Arial" w:hAnsi="Arial" w:cs="Arial"/>
          <w:b/>
          <w:sz w:val="24"/>
          <w:szCs w:val="24"/>
        </w:rPr>
        <w:t>R E S U L T A N D O</w:t>
      </w:r>
    </w:p>
    <w:p w:rsidR="00A357D2" w:rsidRDefault="00A357D2" w:rsidP="00A357D2">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veinticinco de febrero de dos mil diecinueve (25/02/2019), se recibió el escrito de demanda en la Oficialía de Partes de este Tribunal y con fecha veintiséis del mismo mes y año (26/02/2019) se tuvo por admitida a trámite, ordenándose emplazar a Juicio a la autoridad demandada. - - - - - - - - - - - - - - - - - - - - - - - - - - - - - - - - - - - - - - - - - - - - - </w:t>
      </w:r>
      <w:r w:rsidR="006F5239">
        <w:rPr>
          <w:rFonts w:ascii="Arial" w:hAnsi="Arial" w:cs="Arial"/>
          <w:sz w:val="24"/>
          <w:szCs w:val="24"/>
        </w:rPr>
        <w:t>- -</w:t>
      </w:r>
    </w:p>
    <w:p w:rsidR="00A357D2" w:rsidRDefault="00A357D2" w:rsidP="00A357D2">
      <w:pPr>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C</w:t>
      </w:r>
      <w:r w:rsidRPr="0006170D">
        <w:rPr>
          <w:rFonts w:ascii="Arial" w:hAnsi="Arial" w:cs="Arial"/>
          <w:sz w:val="24"/>
          <w:szCs w:val="24"/>
        </w:rPr>
        <w:t>on fecha</w:t>
      </w:r>
      <w:r>
        <w:rPr>
          <w:rFonts w:ascii="Arial" w:hAnsi="Arial" w:cs="Arial"/>
          <w:sz w:val="24"/>
          <w:szCs w:val="24"/>
        </w:rPr>
        <w:t xml:space="preserve"> treinta de abril de dos mil diecinueve (30/04/2019), se tuvo a la autoridad demandada Director General de la Oficina de Pensiones del Estado de Oaxaca, contestando en tiempo la demanda. - - - - - - - - - - - - - - - - - - - - - - - - - - - - - - - - - - - - - - - - - - - - - - - </w:t>
      </w:r>
      <w:r w:rsidR="0082288F">
        <w:rPr>
          <w:rFonts w:ascii="Arial" w:hAnsi="Arial" w:cs="Arial"/>
          <w:sz w:val="24"/>
          <w:szCs w:val="24"/>
        </w:rPr>
        <w:t>- -</w:t>
      </w:r>
    </w:p>
    <w:p w:rsidR="00A357D2" w:rsidRDefault="00A357D2" w:rsidP="00A357D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cinco de septiembre del presente año (05/09/2019),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w:t>
      </w:r>
      <w:r w:rsidR="00FC45EE">
        <w:rPr>
          <w:rFonts w:ascii="Arial" w:hAnsi="Arial" w:cs="Arial"/>
          <w:sz w:val="24"/>
          <w:szCs w:val="24"/>
        </w:rPr>
        <w:t xml:space="preserve">- </w:t>
      </w:r>
    </w:p>
    <w:p w:rsidR="00A357D2" w:rsidRDefault="00A357D2" w:rsidP="00A357D2">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A357D2" w:rsidRDefault="00A357D2" w:rsidP="00A357D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w:t>
      </w:r>
      <w:r>
        <w:rPr>
          <w:rFonts w:ascii="Arial" w:hAnsi="Arial" w:cs="Arial"/>
          <w:sz w:val="24"/>
          <w:szCs w:val="24"/>
        </w:rPr>
        <w:lastRenderedPageBreak/>
        <w:t xml:space="preserve">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8F4675">
        <w:rPr>
          <w:rFonts w:ascii="Arial" w:hAnsi="Arial" w:cs="Arial"/>
          <w:sz w:val="24"/>
          <w:szCs w:val="24"/>
        </w:rPr>
        <w:t>- - - -</w:t>
      </w:r>
    </w:p>
    <w:p w:rsidR="00A357D2" w:rsidRPr="00F17911" w:rsidRDefault="00A357D2" w:rsidP="00A357D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 xml:space="preserve">testimonial, y demás pruebas, quedarán  a la prudente y razonada </w:t>
      </w:r>
      <w:r w:rsidRPr="00F17911">
        <w:rPr>
          <w:rFonts w:ascii="Arial" w:hAnsi="Arial" w:cs="Arial"/>
          <w:sz w:val="24"/>
          <w:szCs w:val="24"/>
        </w:rPr>
        <w:t>apreciación del juzgador.</w:t>
      </w:r>
    </w:p>
    <w:p w:rsidR="00A357D2" w:rsidRDefault="00A357D2" w:rsidP="00A357D2">
      <w:pPr>
        <w:spacing w:line="360" w:lineRule="auto"/>
        <w:ind w:firstLine="708"/>
        <w:jc w:val="both"/>
        <w:rPr>
          <w:rFonts w:ascii="Arial" w:hAnsi="Arial" w:cs="Arial"/>
          <w:sz w:val="24"/>
          <w:szCs w:val="24"/>
        </w:rPr>
      </w:pPr>
      <w:r w:rsidRPr="00F7433D">
        <w:rPr>
          <w:rFonts w:ascii="Arial" w:hAnsi="Arial" w:cs="Arial"/>
          <w:sz w:val="24"/>
          <w:szCs w:val="24"/>
        </w:rPr>
        <w:t xml:space="preserve">Las pruebas DOCUMENTALES ofrecidas </w:t>
      </w:r>
      <w:r>
        <w:rPr>
          <w:rFonts w:ascii="Arial" w:hAnsi="Arial" w:cs="Arial"/>
          <w:sz w:val="24"/>
          <w:szCs w:val="24"/>
        </w:rPr>
        <w:t xml:space="preserve">y admitidas a </w:t>
      </w:r>
      <w:r w:rsidRPr="00F7433D">
        <w:rPr>
          <w:rFonts w:ascii="Arial" w:hAnsi="Arial" w:cs="Arial"/>
          <w:sz w:val="24"/>
          <w:szCs w:val="24"/>
        </w:rPr>
        <w:t xml:space="preserve">la parte </w:t>
      </w:r>
      <w:r w:rsidRPr="00F7433D">
        <w:rPr>
          <w:rFonts w:ascii="Arial" w:hAnsi="Arial" w:cs="Arial"/>
          <w:sz w:val="24"/>
          <w:szCs w:val="24"/>
          <w:u w:val="single"/>
        </w:rPr>
        <w:t>actora</w:t>
      </w:r>
      <w:r w:rsidRPr="00F7433D">
        <w:rPr>
          <w:rFonts w:ascii="Arial" w:hAnsi="Arial" w:cs="Arial"/>
          <w:sz w:val="24"/>
          <w:szCs w:val="24"/>
        </w:rPr>
        <w:t xml:space="preserve"> </w:t>
      </w:r>
      <w:r w:rsidR="0015109E">
        <w:rPr>
          <w:rFonts w:ascii="Arial" w:hAnsi="Arial" w:cs="Arial"/>
          <w:sz w:val="24"/>
          <w:szCs w:val="24"/>
        </w:rPr>
        <w:t>***** ***** ***** *****</w:t>
      </w:r>
      <w:r w:rsidRPr="00F7433D">
        <w:rPr>
          <w:rFonts w:ascii="Arial" w:hAnsi="Arial" w:cs="Arial"/>
          <w:sz w:val="24"/>
          <w:szCs w:val="24"/>
        </w:rPr>
        <w:t xml:space="preserve">, consisten en: </w:t>
      </w:r>
      <w:r w:rsidRPr="001C142B">
        <w:rPr>
          <w:rFonts w:ascii="Arial" w:hAnsi="Arial" w:cs="Arial"/>
          <w:b/>
          <w:sz w:val="24"/>
          <w:szCs w:val="24"/>
        </w:rPr>
        <w:t>1.-</w:t>
      </w:r>
      <w:r>
        <w:rPr>
          <w:rFonts w:ascii="Arial" w:hAnsi="Arial" w:cs="Arial"/>
          <w:sz w:val="24"/>
          <w:szCs w:val="24"/>
        </w:rPr>
        <w:t xml:space="preserve"> Original de oficio </w:t>
      </w:r>
      <w:r w:rsidR="0015109E">
        <w:rPr>
          <w:rFonts w:ascii="Arial" w:hAnsi="Arial" w:cs="Arial"/>
          <w:sz w:val="24"/>
          <w:szCs w:val="24"/>
        </w:rPr>
        <w:t>OP/DG/DPE/***/2019</w:t>
      </w:r>
      <w:r>
        <w:rPr>
          <w:rFonts w:ascii="Arial" w:hAnsi="Arial" w:cs="Arial"/>
          <w:sz w:val="24"/>
          <w:szCs w:val="24"/>
        </w:rPr>
        <w:t xml:space="preserve">, expedido con fecha dieciocho de febrero de dos mil diecinueve (18/02/2019), por el Director General de la Oficina de Pensiones, negando la devolución de los descuentos efectuados al actor durante su vida laboral por concepto de “FONDO DE PENSIONES” (acto impugnado); </w:t>
      </w:r>
      <w:r w:rsidRPr="00F74B6E">
        <w:rPr>
          <w:rFonts w:ascii="Arial" w:hAnsi="Arial" w:cs="Arial"/>
          <w:b/>
          <w:sz w:val="24"/>
          <w:szCs w:val="24"/>
        </w:rPr>
        <w:t>2.-</w:t>
      </w:r>
      <w:r>
        <w:rPr>
          <w:rFonts w:ascii="Arial" w:hAnsi="Arial" w:cs="Arial"/>
          <w:sz w:val="24"/>
          <w:szCs w:val="24"/>
        </w:rPr>
        <w:t xml:space="preserve"> Escrito que contiene dos sellos de recibido por el Departamento de Prestaciones Económicas, Fondo de Pensiones, de la Dirección General de Pensiones del Estado de Oaxaca, ambas de fecha treinta y uno de enero del presente año (31/01/2019), solicitando la actora la devolución de los descuentos aplicados al fondo de pensiones; </w:t>
      </w:r>
      <w:r>
        <w:rPr>
          <w:rFonts w:ascii="Arial" w:hAnsi="Arial" w:cs="Arial"/>
          <w:b/>
          <w:sz w:val="24"/>
          <w:szCs w:val="24"/>
        </w:rPr>
        <w:t xml:space="preserve">3.- </w:t>
      </w:r>
      <w:r>
        <w:rPr>
          <w:rFonts w:ascii="Arial" w:hAnsi="Arial" w:cs="Arial"/>
          <w:sz w:val="24"/>
          <w:szCs w:val="24"/>
        </w:rPr>
        <w:t xml:space="preserve">Copia simple de nombramiento expedido a favor de la actora con fecha uno de mayo de dos mil doce (01/05/2012) para ocupar el cargo de Poligrafista; </w:t>
      </w:r>
      <w:r>
        <w:rPr>
          <w:rFonts w:ascii="Arial" w:hAnsi="Arial" w:cs="Arial"/>
          <w:b/>
          <w:sz w:val="24"/>
          <w:szCs w:val="24"/>
        </w:rPr>
        <w:t xml:space="preserve">4.- </w:t>
      </w:r>
      <w:r>
        <w:rPr>
          <w:rFonts w:ascii="Arial" w:hAnsi="Arial" w:cs="Arial"/>
          <w:sz w:val="24"/>
          <w:szCs w:val="24"/>
        </w:rPr>
        <w:t xml:space="preserve">Constancia original de no adeudos por concepto de préstamos, otorgados por la Dirección de Recursos Humanos, expedida por la Directora de Recursos Humanos de la Secretaría de Administración; </w:t>
      </w:r>
      <w:r>
        <w:rPr>
          <w:rFonts w:ascii="Arial" w:hAnsi="Arial" w:cs="Arial"/>
          <w:b/>
          <w:sz w:val="24"/>
          <w:szCs w:val="24"/>
        </w:rPr>
        <w:t xml:space="preserve">5.- </w:t>
      </w:r>
      <w:r w:rsidRPr="00C525AF">
        <w:rPr>
          <w:rFonts w:ascii="Arial" w:hAnsi="Arial" w:cs="Arial"/>
          <w:sz w:val="24"/>
          <w:szCs w:val="24"/>
        </w:rPr>
        <w:t>Constancia original de no reincorporación expedida a favor de la actora con fecha veinticuatro de enero de dos mil diecinueve (24/01/2019), por el Jefe de la Unidad de Servicios al Personal de la Dirección de Recursos Humanos dependiente de la Secretaría de Administración del Gobierno del Estado</w:t>
      </w:r>
      <w:r>
        <w:rPr>
          <w:rFonts w:ascii="Arial" w:hAnsi="Arial" w:cs="Arial"/>
          <w:sz w:val="24"/>
          <w:szCs w:val="24"/>
        </w:rPr>
        <w:t xml:space="preserve">; </w:t>
      </w:r>
      <w:r>
        <w:rPr>
          <w:rFonts w:ascii="Arial" w:hAnsi="Arial" w:cs="Arial"/>
          <w:b/>
          <w:sz w:val="24"/>
          <w:szCs w:val="24"/>
        </w:rPr>
        <w:t xml:space="preserve">6.- </w:t>
      </w:r>
      <w:r>
        <w:rPr>
          <w:rFonts w:ascii="Arial" w:hAnsi="Arial" w:cs="Arial"/>
          <w:sz w:val="24"/>
          <w:szCs w:val="24"/>
        </w:rPr>
        <w:t xml:space="preserve">Copia simple de aviso de baja a partir del treinta y uno de diciembre de dos mil dieciocho (31/12/2018), expedido a favor de la actora; </w:t>
      </w:r>
      <w:r>
        <w:rPr>
          <w:rFonts w:ascii="Arial" w:hAnsi="Arial" w:cs="Arial"/>
          <w:b/>
          <w:sz w:val="24"/>
          <w:szCs w:val="24"/>
        </w:rPr>
        <w:t xml:space="preserve">7.- </w:t>
      </w:r>
      <w:r w:rsidRPr="00965A5C">
        <w:rPr>
          <w:rFonts w:ascii="Arial" w:hAnsi="Arial" w:cs="Arial"/>
          <w:sz w:val="24"/>
          <w:szCs w:val="24"/>
        </w:rPr>
        <w:t xml:space="preserve">Copia simple de recibo de pago, expedido a favor de la actora correspondiente al periodo del </w:t>
      </w:r>
      <w:r w:rsidRPr="0006163D">
        <w:rPr>
          <w:rFonts w:ascii="Arial" w:hAnsi="Arial" w:cs="Arial"/>
          <w:sz w:val="24"/>
          <w:szCs w:val="24"/>
        </w:rPr>
        <w:t>uno al treinta y uno de diciembre de dos mil dieciocho (31/12/2018).</w:t>
      </w:r>
      <w:r>
        <w:rPr>
          <w:rFonts w:ascii="Arial" w:hAnsi="Arial" w:cs="Arial"/>
          <w:sz w:val="24"/>
          <w:szCs w:val="24"/>
        </w:rPr>
        <w:t xml:space="preserve"> </w:t>
      </w:r>
    </w:p>
    <w:p w:rsidR="00A357D2" w:rsidRPr="00336C25" w:rsidRDefault="00A357D2" w:rsidP="00A357D2">
      <w:pPr>
        <w:spacing w:line="360" w:lineRule="auto"/>
        <w:ind w:firstLine="708"/>
        <w:jc w:val="both"/>
        <w:rPr>
          <w:rFonts w:ascii="Arial" w:hAnsi="Arial" w:cs="Arial"/>
          <w:sz w:val="24"/>
          <w:szCs w:val="24"/>
        </w:rPr>
      </w:pPr>
      <w:r>
        <w:rPr>
          <w:rFonts w:ascii="Arial" w:hAnsi="Arial" w:cs="Arial"/>
          <w:sz w:val="24"/>
          <w:szCs w:val="24"/>
        </w:rPr>
        <w:lastRenderedPageBreak/>
        <w:t xml:space="preserve">Al demandado Director General de la Oficina de Pensiones del Gobierno del Estado, se le admitió la </w:t>
      </w:r>
      <w:r w:rsidRPr="00BB4931">
        <w:rPr>
          <w:rFonts w:ascii="Arial" w:hAnsi="Arial" w:cs="Arial"/>
          <w:b/>
          <w:sz w:val="24"/>
          <w:szCs w:val="24"/>
        </w:rPr>
        <w:t>DOCUMENTAL</w:t>
      </w:r>
      <w:r>
        <w:rPr>
          <w:rFonts w:ascii="Arial" w:hAnsi="Arial" w:cs="Arial"/>
          <w:sz w:val="24"/>
          <w:szCs w:val="24"/>
        </w:rPr>
        <w:t xml:space="preserve"> consistente en copia certificada del oficio </w:t>
      </w:r>
      <w:r w:rsidR="0015109E">
        <w:rPr>
          <w:rFonts w:ascii="Arial" w:hAnsi="Arial" w:cs="Arial"/>
          <w:sz w:val="24"/>
          <w:szCs w:val="24"/>
        </w:rPr>
        <w:t>OP/DG/DPE/***/2019</w:t>
      </w:r>
      <w:r>
        <w:rPr>
          <w:rFonts w:ascii="Arial" w:hAnsi="Arial" w:cs="Arial"/>
          <w:sz w:val="24"/>
          <w:szCs w:val="24"/>
        </w:rPr>
        <w:t>, expedido por el mismo con fecha dieciocho de febrero de dos mil diecinueve (18/02/2019), que consiste en el acto impugnado.</w:t>
      </w:r>
    </w:p>
    <w:p w:rsidR="00A357D2" w:rsidRDefault="00A357D2" w:rsidP="00A357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Los documentos originales remitidos por la actora y las copias certificadas remitidas por la demandada, tienen </w:t>
      </w:r>
      <w:r w:rsidRPr="003D002F">
        <w:rPr>
          <w:rFonts w:ascii="Arial" w:hAnsi="Arial" w:cs="Arial"/>
          <w:b/>
          <w:sz w:val="24"/>
          <w:szCs w:val="24"/>
        </w:rPr>
        <w:t>valor probatorio pleno</w:t>
      </w:r>
      <w:r>
        <w:rPr>
          <w:rFonts w:ascii="Arial" w:hAnsi="Arial" w:cs="Arial"/>
          <w:sz w:val="24"/>
          <w:szCs w:val="24"/>
        </w:rPr>
        <w:t>, porque en los primeros aparecen los nombres de los servidores públicos que los emitieron, además del nombre, firma y sello de la dependencia a la que pertenecen; los segundos, porque fueron expedidas de conformidad con lo dispuesto en el artículo 7 fracción X del Reglamento Interno de la Oficina de Pensiones del Estado de Oaxaca, que faculta al Director Jurídico de esa Institución para certificar los documentos que obren en sus archivos; de ahí la convicción sobre su existencia y la veracidad de su contenido,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EMITIDA </w:t>
      </w:r>
      <w:r w:rsidRPr="00BB2FA9">
        <w:rPr>
          <w:rFonts w:ascii="Arial" w:hAnsi="Arial" w:cs="Arial"/>
          <w:i/>
          <w:sz w:val="24"/>
          <w:szCs w:val="24"/>
        </w:rPr>
        <w:t>POR AUTORIDADES ADMINISTRATIVAS EN EJERCICIO DE SUS FUNCIONES.</w:t>
      </w:r>
      <w:r w:rsidRPr="00BB2FA9">
        <w:rPr>
          <w:rFonts w:ascii="Arial" w:hAnsi="Arial" w:cs="Arial"/>
          <w:sz w:val="24"/>
          <w:szCs w:val="24"/>
        </w:rPr>
        <w:t>”</w:t>
      </w:r>
    </w:p>
    <w:p w:rsidR="00A357D2" w:rsidRDefault="00A357D2" w:rsidP="00A357D2">
      <w:pPr>
        <w:spacing w:line="360" w:lineRule="auto"/>
        <w:ind w:firstLine="708"/>
        <w:jc w:val="both"/>
        <w:rPr>
          <w:rFonts w:ascii="Arial" w:hAnsi="Arial" w:cs="Arial"/>
          <w:sz w:val="24"/>
          <w:szCs w:val="24"/>
        </w:rPr>
      </w:pPr>
      <w:r>
        <w:rPr>
          <w:rFonts w:ascii="Arial" w:hAnsi="Arial" w:cs="Arial"/>
          <w:sz w:val="24"/>
          <w:szCs w:val="24"/>
        </w:rPr>
        <w:t xml:space="preserve">Por lo que respecta a los documentos remitidos en </w:t>
      </w:r>
      <w:r w:rsidRPr="009C72DF">
        <w:rPr>
          <w:rFonts w:ascii="Arial" w:hAnsi="Arial" w:cs="Arial"/>
          <w:b/>
          <w:sz w:val="24"/>
          <w:szCs w:val="24"/>
        </w:rPr>
        <w:t>copia simple</w:t>
      </w:r>
      <w:r>
        <w:rPr>
          <w:rFonts w:ascii="Arial" w:hAnsi="Arial" w:cs="Arial"/>
          <w:sz w:val="24"/>
          <w:szCs w:val="24"/>
        </w:rPr>
        <w:t xml:space="preserve"> por la actora, se les otorga </w:t>
      </w:r>
      <w:r w:rsidRPr="009C72DF">
        <w:rPr>
          <w:rFonts w:ascii="Arial" w:hAnsi="Arial" w:cs="Arial"/>
          <w:b/>
          <w:sz w:val="24"/>
          <w:szCs w:val="24"/>
        </w:rPr>
        <w:t>valor probatorio indiciario</w:t>
      </w:r>
      <w:r>
        <w:rPr>
          <w:rFonts w:ascii="Arial" w:hAnsi="Arial" w:cs="Arial"/>
          <w:sz w:val="24"/>
          <w:szCs w:val="24"/>
        </w:rPr>
        <w:t>, pues no son documentos aislados, ya que la autoridad demandada los tomó en cuenta al momento de emitir el acto aquí impugnado, de ahí el vínculo y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A357D2" w:rsidRDefault="00A357D2" w:rsidP="00A357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w:t>
      </w:r>
      <w:r>
        <w:rPr>
          <w:rFonts w:ascii="Arial" w:hAnsi="Arial" w:cs="Arial"/>
          <w:sz w:val="24"/>
          <w:szCs w:val="24"/>
        </w:rPr>
        <w:lastRenderedPageBreak/>
        <w:t xml:space="preserve">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w:t>
      </w:r>
      <w:r w:rsidRPr="00753200">
        <w:rPr>
          <w:rFonts w:ascii="Arial" w:hAnsi="Arial" w:cs="Arial"/>
          <w:sz w:val="24"/>
          <w:szCs w:val="24"/>
        </w:rPr>
        <w:t>fracción I de la Ley de Procedimiento y Justicia Administrativa para el Estado de Oaxaca.</w:t>
      </w:r>
    </w:p>
    <w:p w:rsidR="00A357D2" w:rsidRDefault="00A357D2" w:rsidP="00A357D2">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 </w:t>
      </w:r>
    </w:p>
    <w:p w:rsidR="00A357D2" w:rsidRDefault="00A357D2" w:rsidP="00A357D2">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LA PRESUNCIONAL LEGAL Y HUMANA también ofrecida por la actora y autoridad demandada, se basa en los principios que las rigen, consistentes en determinar la consecuencia que la ley deduce de un hecho conocido, para averiguar la verdad de otro desconocido, y que de no ofrecerse prueba en contrario, se acredita de este modo el hecho controvertido. En tanto que la presunción humana, es una inferencia que el Juez deduce de un hecho conocido, obtenido de la totalidad de las pruebas para arribar al que se desconoce. - - - - - - - - - - - - - - - - - - - - - - - - - - - - - - </w:t>
      </w:r>
      <w:r w:rsidR="00ED0588">
        <w:rPr>
          <w:rFonts w:ascii="Arial" w:hAnsi="Arial" w:cs="Arial"/>
          <w:sz w:val="24"/>
          <w:szCs w:val="24"/>
        </w:rPr>
        <w:t xml:space="preserve">- - </w:t>
      </w:r>
    </w:p>
    <w:p w:rsidR="00A357D2" w:rsidRDefault="00A357D2" w:rsidP="00A357D2">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Pr>
          <w:rFonts w:ascii="Arial" w:hAnsi="Arial" w:cs="Arial"/>
          <w:sz w:val="24"/>
        </w:rPr>
        <w:t>No se</w:t>
      </w:r>
      <w:r w:rsidRPr="00653BD0">
        <w:rPr>
          <w:rFonts w:ascii="Arial" w:hAnsi="Arial" w:cs="Arial"/>
          <w:sz w:val="24"/>
        </w:rPr>
        <w:t xml:space="preserve">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w:t>
      </w:r>
      <w:r w:rsidR="008D17E8">
        <w:rPr>
          <w:rFonts w:ascii="Arial" w:hAnsi="Arial" w:cs="Arial"/>
          <w:sz w:val="24"/>
        </w:rPr>
        <w:t>- - - - - - - - - - - - -</w:t>
      </w:r>
    </w:p>
    <w:p w:rsidR="00A357D2" w:rsidRDefault="00A357D2" w:rsidP="00A357D2">
      <w:pPr>
        <w:tabs>
          <w:tab w:val="center" w:pos="4574"/>
        </w:tabs>
        <w:spacing w:line="360" w:lineRule="auto"/>
        <w:ind w:firstLine="708"/>
        <w:jc w:val="both"/>
        <w:rPr>
          <w:rFonts w:ascii="Arial" w:hAnsi="Arial" w:cs="Arial"/>
          <w:sz w:val="24"/>
          <w:szCs w:val="24"/>
        </w:rPr>
      </w:pPr>
      <w:r w:rsidRPr="00337D99">
        <w:rPr>
          <w:rFonts w:ascii="Arial" w:hAnsi="Arial" w:cs="Arial"/>
          <w:b/>
          <w:sz w:val="24"/>
          <w:szCs w:val="24"/>
        </w:rPr>
        <w:t xml:space="preserve">CUARTO.- </w:t>
      </w:r>
      <w:r w:rsidRPr="00337D99">
        <w:rPr>
          <w:rFonts w:ascii="Arial" w:hAnsi="Arial" w:cs="Arial"/>
          <w:sz w:val="24"/>
          <w:szCs w:val="24"/>
        </w:rPr>
        <w:t>La personalidad de la actora</w:t>
      </w:r>
      <w:r>
        <w:rPr>
          <w:rFonts w:ascii="Arial" w:hAnsi="Arial" w:cs="Arial"/>
          <w:sz w:val="24"/>
          <w:szCs w:val="24"/>
        </w:rPr>
        <w:t xml:space="preserve"> </w:t>
      </w:r>
      <w:r w:rsidR="0015109E">
        <w:rPr>
          <w:rFonts w:ascii="Arial" w:hAnsi="Arial" w:cs="Arial"/>
          <w:sz w:val="24"/>
          <w:szCs w:val="24"/>
        </w:rPr>
        <w:t>***** ***** ***** *****</w:t>
      </w:r>
      <w:r w:rsidRPr="00337D99">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el acto administrativo que impugna fue dirigido a su persona, en el que no obstante que la autoridad demandada dio respuesta a su petición de devolución de ciertas cantidades de dinero aportadas al fondo de pensiones, ésta no le favoreció, surgiendo así la afectación a su esfera jurídica, por la cual instaura el presente Juicio en defensa de sus derechos, por lo que sin </w:t>
      </w:r>
      <w:r w:rsidRPr="000B5F57">
        <w:rPr>
          <w:rFonts w:ascii="Arial" w:hAnsi="Arial" w:cs="Arial"/>
          <w:sz w:val="24"/>
          <w:szCs w:val="24"/>
        </w:rPr>
        <w:t>duda quedó justificada su personalidad jurídica y legítima en el presente Juicio.</w:t>
      </w:r>
    </w:p>
    <w:p w:rsidR="00A357D2" w:rsidRPr="00104EF9" w:rsidRDefault="00A357D2" w:rsidP="00A357D2">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Pr>
          <w:rFonts w:ascii="Arial" w:hAnsi="Arial" w:cs="Arial"/>
          <w:b/>
          <w:sz w:val="24"/>
        </w:rPr>
        <w:t xml:space="preserve"> </w:t>
      </w:r>
      <w:r>
        <w:rPr>
          <w:rFonts w:ascii="Arial" w:hAnsi="Arial" w:cs="Arial"/>
          <w:sz w:val="24"/>
        </w:rPr>
        <w:t xml:space="preserve">Director General </w:t>
      </w:r>
      <w:r w:rsidRPr="00104EF9">
        <w:rPr>
          <w:rFonts w:ascii="Arial" w:hAnsi="Arial" w:cs="Arial"/>
          <w:sz w:val="24"/>
        </w:rPr>
        <w:t xml:space="preserve">de la Oficina de Pensiones, se tiene por acreditada </w:t>
      </w:r>
      <w:r>
        <w:rPr>
          <w:rFonts w:ascii="Arial" w:hAnsi="Arial" w:cs="Arial"/>
          <w:sz w:val="24"/>
        </w:rPr>
        <w:t xml:space="preserve">su personalidad por </w:t>
      </w:r>
      <w:r>
        <w:rPr>
          <w:rFonts w:ascii="Arial" w:hAnsi="Arial" w:cs="Arial"/>
          <w:sz w:val="24"/>
        </w:rPr>
        <w:lastRenderedPageBreak/>
        <w:t xml:space="preserve">disposición expresa del </w:t>
      </w:r>
      <w:r w:rsidRPr="00104EF9">
        <w:rPr>
          <w:rFonts w:ascii="Arial" w:hAnsi="Arial" w:cs="Arial"/>
          <w:sz w:val="24"/>
        </w:rPr>
        <w:t xml:space="preserve">artículo 151 de la Ley de Procedimiento y Justicia Administrativa </w:t>
      </w:r>
      <w:r w:rsidRPr="000B5F57">
        <w:rPr>
          <w:rFonts w:ascii="Arial" w:hAnsi="Arial" w:cs="Arial"/>
          <w:sz w:val="24"/>
        </w:rPr>
        <w:t>del Estado de Oaxaca, toda vez que ésta no fue impugnada por la parte actora.- -</w:t>
      </w:r>
      <w:r w:rsidRPr="00104EF9">
        <w:rPr>
          <w:rFonts w:ascii="Arial" w:hAnsi="Arial" w:cs="Arial"/>
          <w:sz w:val="24"/>
        </w:rPr>
        <w:t xml:space="preserve"> - - </w:t>
      </w:r>
      <w:r>
        <w:rPr>
          <w:rFonts w:ascii="Arial" w:hAnsi="Arial" w:cs="Arial"/>
          <w:sz w:val="24"/>
        </w:rPr>
        <w:t>- - - - - - - - - - - - - - - - - - - - - - - - - - - - - - - - - - - - -</w:t>
      </w:r>
      <w:r w:rsidR="00C44DDE">
        <w:rPr>
          <w:rFonts w:ascii="Arial" w:hAnsi="Arial" w:cs="Arial"/>
          <w:sz w:val="24"/>
        </w:rPr>
        <w:t xml:space="preserve"> - - </w:t>
      </w:r>
    </w:p>
    <w:p w:rsidR="00A357D2" w:rsidRDefault="00A357D2" w:rsidP="00A357D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declarar el sobreseimiento, tal y como se establece en los artículos 161 y 162, de la Ley de Procedimiento y Justicia Administrativa para el Estado de Oaxaca. </w:t>
      </w:r>
    </w:p>
    <w:p w:rsidR="00A357D2" w:rsidRDefault="00A357D2" w:rsidP="00A357D2">
      <w:pPr>
        <w:pStyle w:val="corte4fondoCarCarCar"/>
        <w:spacing w:before="240"/>
        <w:ind w:firstLine="708"/>
        <w:rPr>
          <w:rFonts w:cs="Arial"/>
          <w:bCs/>
          <w:sz w:val="24"/>
        </w:rPr>
      </w:pPr>
      <w:r>
        <w:rPr>
          <w:rFonts w:cs="Arial"/>
          <w:bCs/>
          <w:sz w:val="24"/>
        </w:rPr>
        <w:t>La autoridad demanda hizo valer las causales de improcedencia previstas en las fracciones IX del artículo 161 y V y VI del artículo 162 ambos de la ley de Procedimiento y Justicia Administrativa para el Estado de Oaxaca, además invocó las excepciones de FALTA DE DERECHO Y ACCIÓN y FALSEDAD DE LOS HECHOS DE LA DEMANDA.</w:t>
      </w:r>
    </w:p>
    <w:p w:rsidR="00A357D2" w:rsidRDefault="00A357D2" w:rsidP="00A357D2">
      <w:pPr>
        <w:pStyle w:val="corte4fondoCarCarCar"/>
        <w:spacing w:before="240"/>
        <w:ind w:firstLine="708"/>
        <w:rPr>
          <w:rFonts w:cs="Arial"/>
          <w:bCs/>
          <w:sz w:val="24"/>
        </w:rPr>
      </w:pPr>
      <w:r>
        <w:rPr>
          <w:rFonts w:cs="Arial"/>
          <w:bCs/>
          <w:sz w:val="24"/>
        </w:rPr>
        <w:t xml:space="preserve">La fracción IX, del artículo 161 referido, así como la fracción V del artículo 162 también referido, prevén que el Juicio es improcedente y por ende debe sobreseerse, cuando de las constancias de autos apareciere que no existe el acto reclamado o cuando no se probare su existencia; éstas causales no se actualizan, porque fue la propia autoridad demandada quien remitió copia certificada del oficio </w:t>
      </w:r>
      <w:r w:rsidR="0015109E">
        <w:rPr>
          <w:rFonts w:cs="Arial"/>
          <w:bCs/>
          <w:sz w:val="24"/>
        </w:rPr>
        <w:t>OP/DG/DPE/***/2019</w:t>
      </w:r>
      <w:r>
        <w:rPr>
          <w:rFonts w:cs="Arial"/>
          <w:bCs/>
          <w:sz w:val="24"/>
        </w:rPr>
        <w:t xml:space="preserve">, que es el acto impugnado en el presente asunto, luego entonces, resulta incomprensible que desconozca el acto impugnado y lo refiera inexistente, cuando él lo emitió, de ahí que sean injustificadas las causales invocadas. </w:t>
      </w:r>
    </w:p>
    <w:p w:rsidR="00A357D2" w:rsidRDefault="00A357D2" w:rsidP="00A357D2">
      <w:pPr>
        <w:pStyle w:val="corte4fondoCarCarCar"/>
        <w:spacing w:before="240"/>
        <w:ind w:firstLine="708"/>
        <w:rPr>
          <w:rFonts w:cs="Arial"/>
          <w:bCs/>
          <w:sz w:val="24"/>
        </w:rPr>
      </w:pPr>
      <w:r>
        <w:rPr>
          <w:rFonts w:cs="Arial"/>
          <w:bCs/>
          <w:sz w:val="24"/>
        </w:rPr>
        <w:t>La causal de sobreseimiento prevista en la fracción VI del artículo 162 de la ley de la Materia, se refiere a los casos en que por disposición legal exista impedimento para emitir resolución; ésta causal también resulta injustificada, pues la autoridad demandada no argumentó en que normatividad se establece tal prohibición, y además, esta Juzgadora no advierta su existencia, consecuentemente esas consideraciones nos llevan a concluir, que tampoco se actualiza dicha causal.</w:t>
      </w:r>
    </w:p>
    <w:p w:rsidR="00A357D2" w:rsidRDefault="00A357D2" w:rsidP="00A357D2">
      <w:pPr>
        <w:pStyle w:val="corte4fondoCarCarCar"/>
        <w:spacing w:before="240"/>
        <w:ind w:firstLine="708"/>
        <w:rPr>
          <w:rFonts w:cs="Arial"/>
          <w:bCs/>
          <w:sz w:val="24"/>
        </w:rPr>
      </w:pPr>
      <w:r>
        <w:rPr>
          <w:rFonts w:cs="Arial"/>
          <w:bCs/>
          <w:sz w:val="24"/>
        </w:rPr>
        <w:t>Para la actualización de la e</w:t>
      </w:r>
      <w:r w:rsidRPr="004037C9">
        <w:rPr>
          <w:rFonts w:cs="Arial"/>
          <w:bCs/>
          <w:sz w:val="24"/>
        </w:rPr>
        <w:t>xcepció</w:t>
      </w:r>
      <w:r>
        <w:rPr>
          <w:rFonts w:cs="Arial"/>
          <w:bCs/>
          <w:sz w:val="24"/>
        </w:rPr>
        <w:t>n de</w:t>
      </w:r>
      <w:r w:rsidRPr="004037C9">
        <w:rPr>
          <w:rFonts w:cs="Arial"/>
          <w:bCs/>
          <w:sz w:val="24"/>
        </w:rPr>
        <w:t xml:space="preserve"> </w:t>
      </w:r>
      <w:r w:rsidRPr="000C1D44">
        <w:rPr>
          <w:rFonts w:cs="Arial"/>
          <w:bCs/>
          <w:sz w:val="24"/>
        </w:rPr>
        <w:t>FALTA DE ACCIÓN Y DERECHO DE</w:t>
      </w:r>
      <w:r>
        <w:rPr>
          <w:rFonts w:cs="Arial"/>
          <w:bCs/>
          <w:sz w:val="24"/>
        </w:rPr>
        <w:t xml:space="preserve"> </w:t>
      </w:r>
      <w:r w:rsidRPr="000C1D44">
        <w:rPr>
          <w:rFonts w:cs="Arial"/>
          <w:bCs/>
          <w:sz w:val="24"/>
        </w:rPr>
        <w:t>L</w:t>
      </w:r>
      <w:r>
        <w:rPr>
          <w:rFonts w:cs="Arial"/>
          <w:bCs/>
          <w:sz w:val="24"/>
        </w:rPr>
        <w:t>A</w:t>
      </w:r>
      <w:r w:rsidRPr="000C1D44">
        <w:rPr>
          <w:rFonts w:cs="Arial"/>
          <w:bCs/>
          <w:sz w:val="24"/>
        </w:rPr>
        <w:t xml:space="preserve"> ACTOR</w:t>
      </w:r>
      <w:r>
        <w:rPr>
          <w:rFonts w:cs="Arial"/>
          <w:bCs/>
          <w:sz w:val="24"/>
        </w:rPr>
        <w:t>A, basa la autoridad demandada su argumento</w:t>
      </w:r>
      <w:r w:rsidRPr="00706DF8">
        <w:rPr>
          <w:rFonts w:cs="Arial"/>
          <w:bCs/>
          <w:sz w:val="24"/>
        </w:rPr>
        <w:t xml:space="preserve"> </w:t>
      </w:r>
      <w:r>
        <w:rPr>
          <w:rFonts w:cs="Arial"/>
          <w:bCs/>
          <w:sz w:val="24"/>
        </w:rPr>
        <w:t>respecto</w:t>
      </w:r>
      <w:r w:rsidRPr="00706DF8">
        <w:rPr>
          <w:rFonts w:cs="Arial"/>
          <w:b/>
          <w:bCs/>
          <w:sz w:val="24"/>
        </w:rPr>
        <w:t xml:space="preserve"> </w:t>
      </w:r>
      <w:r w:rsidRPr="00B24EAB">
        <w:rPr>
          <w:rFonts w:cs="Arial"/>
          <w:bCs/>
          <w:sz w:val="24"/>
        </w:rPr>
        <w:t xml:space="preserve">a </w:t>
      </w:r>
      <w:r>
        <w:rPr>
          <w:rFonts w:cs="Arial"/>
          <w:bCs/>
          <w:sz w:val="24"/>
        </w:rPr>
        <w:t xml:space="preserve">que el acto impugnado es válido, pues considera cumple con los requisitos dispuestos en el artículo 17 de la Ley de Procedimiento y Justicia Administrativa para el Estado de Oaxaca, sin embargo, tales argumentos son </w:t>
      </w:r>
      <w:r>
        <w:rPr>
          <w:rFonts w:cs="Arial"/>
          <w:bCs/>
          <w:sz w:val="24"/>
        </w:rPr>
        <w:lastRenderedPageBreak/>
        <w:t xml:space="preserve">insuficientes para sustentar dicha excepción, en consecuencia sus alegatos resultan improcedentes, pues no están encaminados a destruir la acción o impedir el estudio de fondo de este asunto, sino a sustentar la validez del acto impugnado, y de ese tema se encargara esta autoridad en el considerando siguiente, por lo que la excepción planteada resulta </w:t>
      </w:r>
      <w:r w:rsidRPr="005F7E41">
        <w:rPr>
          <w:rFonts w:cs="Arial"/>
          <w:b/>
          <w:bCs/>
          <w:sz w:val="24"/>
        </w:rPr>
        <w:t>improcedente</w:t>
      </w:r>
      <w:r>
        <w:rPr>
          <w:rFonts w:cs="Arial"/>
          <w:bCs/>
          <w:sz w:val="24"/>
        </w:rPr>
        <w:t>.</w:t>
      </w:r>
    </w:p>
    <w:p w:rsidR="00A357D2" w:rsidRDefault="00A357D2" w:rsidP="00A357D2">
      <w:pPr>
        <w:pStyle w:val="corte4fondoCarCarCar"/>
        <w:spacing w:before="240"/>
        <w:ind w:firstLine="708"/>
        <w:rPr>
          <w:rFonts w:cs="Arial"/>
          <w:bCs/>
          <w:sz w:val="24"/>
        </w:rPr>
      </w:pPr>
      <w:r>
        <w:rPr>
          <w:rFonts w:cs="Arial"/>
          <w:bCs/>
          <w:sz w:val="24"/>
        </w:rPr>
        <w:t xml:space="preserve">Respecto a la excepción de FALSEDAD DE LOS HECHOS, resulta también improcedente, porque los hechos narrados por la actora en la demanda, quedaron sustentados con los documentos que remitió, y que corroboró la demandada con la documental exhibida, que es precisamente el actor impugnado, donde se advierten las fechas en que el actor inicio a laborar, cuando causó baja, la solicitud de devolución de los descuentos y la respuesta otorgada por la autoridad demandada, y estos hechos están contenidos en el oficio impugnado, luego entonces, los hechos descritos por la actora quedaron de manifiesto, de ahí la improcedencia de la excepción planteada. </w:t>
      </w:r>
    </w:p>
    <w:p w:rsidR="00A357D2" w:rsidRPr="001042B6" w:rsidRDefault="00A357D2" w:rsidP="00A357D2">
      <w:pPr>
        <w:pStyle w:val="corte4fondoCarCarCar"/>
        <w:spacing w:before="240"/>
        <w:ind w:firstLine="708"/>
        <w:rPr>
          <w:rFonts w:cs="Arial"/>
          <w:bCs/>
          <w:sz w:val="24"/>
        </w:rPr>
      </w:pPr>
      <w:r>
        <w:rPr>
          <w:rFonts w:cs="Arial"/>
          <w:bCs/>
          <w:sz w:val="24"/>
        </w:rPr>
        <w:t>No advi</w:t>
      </w:r>
      <w:r w:rsidRPr="001042B6">
        <w:rPr>
          <w:rFonts w:cs="Arial"/>
          <w:bCs/>
          <w:sz w:val="24"/>
        </w:rPr>
        <w:t>rt</w:t>
      </w:r>
      <w:r>
        <w:rPr>
          <w:rFonts w:cs="Arial"/>
          <w:bCs/>
          <w:sz w:val="24"/>
        </w:rPr>
        <w:t>iéndose la actualización de</w:t>
      </w:r>
      <w:r w:rsidRPr="001042B6">
        <w:rPr>
          <w:rFonts w:cs="Arial"/>
          <w:bCs/>
          <w:sz w:val="24"/>
        </w:rPr>
        <w:t xml:space="preserve"> alguna </w:t>
      </w:r>
      <w:r>
        <w:rPr>
          <w:rFonts w:cs="Arial"/>
          <w:bCs/>
          <w:sz w:val="24"/>
        </w:rPr>
        <w:t xml:space="preserve">otra </w:t>
      </w:r>
      <w:r w:rsidRPr="001042B6">
        <w:rPr>
          <w:rFonts w:cs="Arial"/>
          <w:bCs/>
          <w:sz w:val="24"/>
        </w:rPr>
        <w:t xml:space="preserve">causa que impida entrar a estudiar el fondo del presente asunto, este Juicio de Nulidad NO SE SOBRESEE.- - - </w:t>
      </w:r>
      <w:r>
        <w:rPr>
          <w:rFonts w:cs="Arial"/>
          <w:bCs/>
          <w:sz w:val="24"/>
        </w:rPr>
        <w:t xml:space="preserve">- - - - - - - - - - - - - - - - - - - - - - - - - - - - - - - - - - - - - - - - </w:t>
      </w:r>
      <w:r w:rsidR="00B61077">
        <w:rPr>
          <w:rFonts w:cs="Arial"/>
          <w:bCs/>
          <w:sz w:val="24"/>
        </w:rPr>
        <w:t xml:space="preserve">- - - - </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006C74D9">
        <w:rPr>
          <w:rFonts w:ascii="Arial" w:hAnsi="Arial" w:cs="Arial"/>
          <w:b/>
          <w:sz w:val="24"/>
          <w:szCs w:val="24"/>
        </w:rPr>
        <w:tab/>
      </w:r>
      <w:r w:rsidRPr="006D7488">
        <w:rPr>
          <w:rFonts w:ascii="Arial" w:hAnsi="Arial" w:cs="Arial"/>
          <w:b/>
          <w:sz w:val="24"/>
          <w:szCs w:val="24"/>
        </w:rPr>
        <w:t>SEXTO.-</w:t>
      </w:r>
      <w:r w:rsidR="006C74D9">
        <w:rPr>
          <w:rFonts w:ascii="Arial" w:hAnsi="Arial" w:cs="Arial"/>
          <w:sz w:val="24"/>
          <w:szCs w:val="24"/>
        </w:rPr>
        <w:t xml:space="preserve"> </w:t>
      </w:r>
      <w:r>
        <w:rPr>
          <w:rFonts w:ascii="Arial" w:hAnsi="Arial" w:cs="Arial"/>
          <w:sz w:val="24"/>
          <w:szCs w:val="24"/>
        </w:rPr>
        <w:t xml:space="preserve">La pretensión de la actora en el presente asunto, es la devolución de cuotas que le fueron descontadas equivalentes al 9% de su sueldo base, durante el tiempo que laboró como servidor público, por concepto de “FONDO DE PENSIONES”. </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E</w:t>
      </w:r>
      <w:r w:rsidRPr="00722B62">
        <w:rPr>
          <w:rFonts w:ascii="Arial" w:hAnsi="Arial" w:cs="Arial"/>
          <w:sz w:val="24"/>
          <w:szCs w:val="24"/>
        </w:rPr>
        <w:t>sta Juzgadora</w:t>
      </w:r>
      <w:r>
        <w:rPr>
          <w:rFonts w:ascii="Arial" w:hAnsi="Arial" w:cs="Arial"/>
          <w:sz w:val="24"/>
          <w:szCs w:val="24"/>
        </w:rPr>
        <w:t xml:space="preserve"> en base a los argumentos y pruebas ofrecidas por las partes, considera </w:t>
      </w:r>
      <w:r w:rsidRPr="00E210A4">
        <w:rPr>
          <w:rFonts w:ascii="Arial" w:hAnsi="Arial" w:cs="Arial"/>
          <w:b/>
          <w:sz w:val="24"/>
          <w:szCs w:val="24"/>
        </w:rPr>
        <w:t>fundados los agravios</w:t>
      </w:r>
      <w:r>
        <w:rPr>
          <w:rFonts w:ascii="Arial" w:hAnsi="Arial" w:cs="Arial"/>
          <w:sz w:val="24"/>
          <w:szCs w:val="24"/>
        </w:rPr>
        <w:t xml:space="preserve"> expuestos por la actora. </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En efecto, se toma en cuenta que la autoridad demandada basó su resolución en que no existe en la Ley de Pensiones para los Trabajadores del Gobierno del Estado de Oaxaca, un precepto legal que establezca el derecho de un trabajador de confianza, para obtener la devolución de las aportaciones que efectuó al Fondo de Pensiones cuando haya finalizado su relación laboral con el Gobierno del Estado, y cuando no cumpla con los requisitos de antigüedad para la obtención de una pensión, por considerar que ese derecho únicamente se encuentra previsto para los trabajadores de base, de acuerdo a lo establecido en el artículo 64 de dicho ordenamiento legal.</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Al respecto esta Juzgadora toma en cuenta que las aportaciones reclamadas, efectivamente formaban parte del salario, por ello en la Ley de Pensiones se establece con el ánimo de protección y nunca de causar un perjuicio, razón por la que esa deducción no debe considerarse un acto privativo, porque no debe producir menoscabo o supresión definitiva de un derecho del gobernado; haciendo una interpretación más garantista, debe establecerse, que si bien es cierto en la Ley de Pensiones en vigor, existe el derecho de los trabajadores de base para obtener la devolución de sus aportaciones al fondo de pensiones, cuando aún no cumplan con la antigüedad requerida para la obtención de una pensión (artículo 64 de dicho ordenamiento legal), en dicha hipótesis no se advierte la prohibición, impedimento o veto, para que los trabajadores de confianza obtengan dicha devolución, consecuentemente, resultaba procedente la aplicación de un precepto más amplio, como es el segundo párrafo del artículo 1 de la Constitución Política de los Estados Unidos Mexicanos, procurando la protección más amplia de los derechos humanos del gobernado, protección a la que toda autoridad se encuentra sujeta; que a la letra dice:</w:t>
      </w:r>
    </w:p>
    <w:p w:rsidR="00A357D2" w:rsidRPr="00660480" w:rsidRDefault="00A357D2" w:rsidP="00A357D2">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t>“</w:t>
      </w:r>
      <w:r w:rsidRPr="00660480">
        <w:rPr>
          <w:rFonts w:ascii="Arial" w:hAnsi="Arial" w:cs="Arial"/>
          <w:b/>
          <w:i/>
          <w:sz w:val="24"/>
          <w:szCs w:val="24"/>
        </w:rPr>
        <w:t>Artículo 1o.</w:t>
      </w:r>
      <w:r w:rsidRPr="00660480">
        <w:rPr>
          <w:rFonts w:ascii="Arial" w:hAnsi="Arial" w:cs="Arial"/>
          <w:i/>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i/>
          <w:sz w:val="24"/>
          <w:szCs w:val="24"/>
        </w:rPr>
        <w:tab/>
      </w:r>
      <w:r w:rsidRPr="00660480">
        <w:rPr>
          <w:rFonts w:ascii="Arial" w:hAnsi="Arial" w:cs="Arial"/>
          <w:i/>
          <w:sz w:val="24"/>
          <w:szCs w:val="24"/>
        </w:rPr>
        <w:t>Las normas relativas a los derechos humanos se interpretarán de conformidad con esta Constitución y con los tratados internacionales de la materia favoreciendo en todo tiempo a las personas la protección más amplia</w:t>
      </w:r>
      <w:r>
        <w:rPr>
          <w:rFonts w:ascii="Arial" w:hAnsi="Arial" w:cs="Arial"/>
          <w:i/>
          <w:sz w:val="24"/>
          <w:szCs w:val="24"/>
        </w:rPr>
        <w:t>….</w:t>
      </w:r>
      <w:r>
        <w:rPr>
          <w:rFonts w:ascii="Arial" w:hAnsi="Arial" w:cs="Arial"/>
          <w:sz w:val="24"/>
          <w:szCs w:val="24"/>
        </w:rPr>
        <w:t>”</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La Suprema Corte de Justicia de la Nación, ha considerado que si bien es cierto el artículo 123 apartado B de la Constitución Política de los Estados Unidos Mexicanos, clasifica a los trabajadores en dos sectores, base y confianza, limitando los derechos de éstos últimos, como el relativo a la estabilidad e inamovilidad del empleo; sin embargo, </w:t>
      </w:r>
      <w:r>
        <w:rPr>
          <w:rFonts w:ascii="Arial" w:hAnsi="Arial" w:cs="Arial"/>
          <w:b/>
          <w:sz w:val="24"/>
          <w:szCs w:val="24"/>
        </w:rPr>
        <w:t>tales limitaciones</w:t>
      </w:r>
      <w:r w:rsidRPr="00966498">
        <w:rPr>
          <w:rFonts w:ascii="Arial" w:hAnsi="Arial" w:cs="Arial"/>
          <w:b/>
          <w:sz w:val="24"/>
          <w:szCs w:val="24"/>
        </w:rPr>
        <w:t xml:space="preserve"> son de carácter excepcional</w:t>
      </w:r>
      <w:r>
        <w:rPr>
          <w:rFonts w:ascii="Arial" w:hAnsi="Arial" w:cs="Arial"/>
          <w:sz w:val="24"/>
          <w:szCs w:val="24"/>
        </w:rPr>
        <w:t xml:space="preserve">, pues los trabajadores de confianza tienen reconocidos sus derechos laborales en la fracción XIV, del citado artículo 123 apartado B, dentro de ellos, </w:t>
      </w:r>
      <w:r w:rsidRPr="00DA65D2">
        <w:rPr>
          <w:rFonts w:ascii="Arial" w:hAnsi="Arial" w:cs="Arial"/>
          <w:b/>
          <w:sz w:val="24"/>
          <w:szCs w:val="24"/>
        </w:rPr>
        <w:t>a la seguridad social</w:t>
      </w:r>
      <w:r>
        <w:rPr>
          <w:rFonts w:ascii="Arial" w:hAnsi="Arial" w:cs="Arial"/>
          <w:sz w:val="24"/>
          <w:szCs w:val="24"/>
        </w:rPr>
        <w:t xml:space="preserve">, circunstancias que también fue  inobservada por la autoridad demandada, tal es el criterio referido en la Jurisprudencia sustentada por la Suprema Corte de Justicia de </w:t>
      </w:r>
      <w:r>
        <w:rPr>
          <w:rFonts w:ascii="Arial" w:hAnsi="Arial" w:cs="Arial"/>
          <w:sz w:val="24"/>
          <w:szCs w:val="24"/>
        </w:rPr>
        <w:lastRenderedPageBreak/>
        <w:t>la Nación, con datos de identificación: Tomo I, Constitucional 3. Derechos Fundamentales, Primera Parte-SCJN, Vigésima Segunda, Sección- Derechos laborales, Novena Época, pág. 2169, registro 1012200, Segunda Sala, y de rubro: “</w:t>
      </w:r>
      <w:r w:rsidRPr="00505FD8">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505FD8">
        <w:rPr>
          <w:rFonts w:ascii="Arial" w:hAnsi="Arial" w:cs="Arial"/>
          <w:sz w:val="24"/>
          <w:szCs w:val="24"/>
        </w:rPr>
        <w:t>.</w:t>
      </w:r>
      <w:r>
        <w:rPr>
          <w:rFonts w:ascii="Arial" w:hAnsi="Arial" w:cs="Arial"/>
          <w:sz w:val="24"/>
          <w:szCs w:val="24"/>
        </w:rPr>
        <w:t xml:space="preserve">” </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Por otra parte, esta Juzgadora advierte, que el artículo 64 de la Ley de Pensiones para los Trabajadores del Gobierno del Estado de Oaxaca, en la aplicación al caso concreto resulta </w:t>
      </w:r>
      <w:r w:rsidRPr="00A6574D">
        <w:rPr>
          <w:rFonts w:ascii="Arial" w:hAnsi="Arial" w:cs="Arial"/>
          <w:b/>
          <w:sz w:val="24"/>
          <w:szCs w:val="24"/>
        </w:rPr>
        <w:t>discriminatorio</w:t>
      </w:r>
      <w:r>
        <w:rPr>
          <w:rFonts w:ascii="Arial" w:hAnsi="Arial" w:cs="Arial"/>
          <w:sz w:val="24"/>
          <w:szCs w:val="24"/>
        </w:rPr>
        <w:t xml:space="preserve"> para los trabajadores de confianza, al considerar solo a los trabajadores de base para la devolución de aportaciones al fondo de pensiones, en el supuesto en que no cumplan con la antigüedad debida para obtener una pensión; pues el artículo 123 apartado B, fracción XIV, de la Constitución Política de los Estados Unidos Mexicanos, como ya se dijo, claramente dispone que los trabajadores de confianza gozarán de los beneficios de la seguridad social, por lo que la intención del legislador constitucionalista, no fue restringir el derecho de los trabajadores </w:t>
      </w:r>
      <w:r w:rsidRPr="006928E4">
        <w:rPr>
          <w:rFonts w:ascii="Arial" w:hAnsi="Arial" w:cs="Arial"/>
          <w:sz w:val="24"/>
          <w:szCs w:val="24"/>
        </w:rPr>
        <w:t>de confianza a esa prerrogativa;</w:t>
      </w:r>
      <w:r>
        <w:rPr>
          <w:rFonts w:ascii="Arial" w:hAnsi="Arial" w:cs="Arial"/>
          <w:sz w:val="24"/>
          <w:szCs w:val="24"/>
        </w:rPr>
        <w:t xml:space="preserve"> máxime, que las aportaciones efectuadas por los trabajadores de base como por los de confianza, se ubican en un plano de igualdad, en relación al porcentaje de descuento que se les efectúa (9%), como lo dispone el artículo 6 fracción II de la Ley de Pensiones para los Trabajadores del Gobierno del Estado de Oaxaca, el cual no hace distinción alguna, por lo que si ambos erogan en igualdad porcentual una parte de sus percepciones cuando se encuentren en activo al fondo de pensiones, y que esa igualdad continua para  estar en aptitud de acceder a una pensión, ubicándose en línea recta ambas categorías (base-confianza), lo mismo debe ocurrir para obtener la devolución de las aportaciones cuando no se está en los supuestos para obtener una pensión, pues no existe razón para que unos tengan el derecho de obtener la devolución y otros no. </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ese orden de ideas, los Jueces Ordinarios no podemos hacer una declaración general sobre invalidez o expulsión del ordenamiento jurídico las normas que se consideren contrarias a los derechos humanos contenidos en la Constitución y en los tratados, por ser actividad exclusiva de las vías de control directas establecidas en los artículos 103, 105 y 107 Constitucionales, pues existe la facultad de que todas las autoridades ordinarias, </w:t>
      </w:r>
      <w:r w:rsidRPr="00134AAC">
        <w:rPr>
          <w:rFonts w:ascii="Arial" w:hAnsi="Arial" w:cs="Arial"/>
          <w:b/>
          <w:sz w:val="24"/>
          <w:szCs w:val="24"/>
        </w:rPr>
        <w:t>dej</w:t>
      </w:r>
      <w:r>
        <w:rPr>
          <w:rFonts w:ascii="Arial" w:hAnsi="Arial" w:cs="Arial"/>
          <w:b/>
          <w:sz w:val="24"/>
          <w:szCs w:val="24"/>
        </w:rPr>
        <w:t xml:space="preserve">en de </w:t>
      </w:r>
      <w:r>
        <w:rPr>
          <w:rFonts w:ascii="Arial" w:hAnsi="Arial" w:cs="Arial"/>
          <w:b/>
          <w:sz w:val="24"/>
          <w:szCs w:val="24"/>
        </w:rPr>
        <w:lastRenderedPageBreak/>
        <w:t>aplicar</w:t>
      </w:r>
      <w:r w:rsidRPr="00134AAC">
        <w:rPr>
          <w:rFonts w:ascii="Arial" w:hAnsi="Arial" w:cs="Arial"/>
          <w:b/>
          <w:sz w:val="24"/>
          <w:szCs w:val="24"/>
        </w:rPr>
        <w:t xml:space="preserve"> normas inferiores</w:t>
      </w:r>
      <w:r>
        <w:rPr>
          <w:rFonts w:ascii="Arial" w:hAnsi="Arial" w:cs="Arial"/>
          <w:b/>
          <w:sz w:val="24"/>
          <w:szCs w:val="24"/>
        </w:rPr>
        <w:t>,</w:t>
      </w:r>
      <w:r>
        <w:rPr>
          <w:rFonts w:ascii="Arial" w:hAnsi="Arial" w:cs="Arial"/>
          <w:sz w:val="24"/>
          <w:szCs w:val="24"/>
        </w:rPr>
        <w:t xml:space="preserve"> </w:t>
      </w:r>
      <w:r w:rsidRPr="00FB45AA">
        <w:rPr>
          <w:rFonts w:ascii="Arial" w:hAnsi="Arial" w:cs="Arial"/>
          <w:sz w:val="24"/>
          <w:szCs w:val="24"/>
        </w:rPr>
        <w:t>dando preferencia a los contenidos de la Constitución y de los tratados en la m</w:t>
      </w:r>
      <w:r w:rsidRPr="00966498">
        <w:rPr>
          <w:rFonts w:ascii="Arial" w:hAnsi="Arial" w:cs="Arial"/>
          <w:sz w:val="24"/>
          <w:szCs w:val="24"/>
        </w:rPr>
        <w:t>ateria</w:t>
      </w:r>
      <w:r w:rsidRPr="00FB45AA">
        <w:rPr>
          <w:rFonts w:ascii="Arial" w:hAnsi="Arial" w:cs="Arial"/>
          <w:sz w:val="24"/>
          <w:szCs w:val="24"/>
        </w:rPr>
        <w:t>.</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Co</w:t>
      </w:r>
      <w:r w:rsidRPr="00466591">
        <w:rPr>
          <w:rFonts w:ascii="Arial" w:hAnsi="Arial" w:cs="Arial"/>
          <w:sz w:val="24"/>
          <w:szCs w:val="24"/>
        </w:rPr>
        <w:t>nsecuenteme</w:t>
      </w:r>
      <w:r>
        <w:rPr>
          <w:rFonts w:ascii="Arial" w:hAnsi="Arial" w:cs="Arial"/>
          <w:sz w:val="24"/>
          <w:szCs w:val="24"/>
        </w:rPr>
        <w:t xml:space="preserve">nte, para asegurar la primacía, y aplicación efectiva de los derechos humanos establecidos en la Constitución 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w:t>
      </w:r>
      <w:r w:rsidRPr="00DE5509">
        <w:rPr>
          <w:rFonts w:ascii="Arial" w:hAnsi="Arial" w:cs="Arial"/>
          <w:sz w:val="24"/>
          <w:szCs w:val="24"/>
        </w:rPr>
        <w:t xml:space="preserve">considera procedente </w:t>
      </w:r>
      <w:r w:rsidRPr="007C7E96">
        <w:rPr>
          <w:rFonts w:ascii="Arial" w:hAnsi="Arial" w:cs="Arial"/>
          <w:sz w:val="24"/>
          <w:szCs w:val="24"/>
        </w:rPr>
        <w:t>INAPLICAR</w:t>
      </w:r>
      <w:r>
        <w:rPr>
          <w:rFonts w:ascii="Arial" w:hAnsi="Arial" w:cs="Arial"/>
          <w:sz w:val="24"/>
          <w:szCs w:val="24"/>
        </w:rPr>
        <w:t xml:space="preserve"> en el presente caso </w:t>
      </w:r>
      <w:r w:rsidRPr="00DE5509">
        <w:rPr>
          <w:rFonts w:ascii="Arial" w:hAnsi="Arial" w:cs="Arial"/>
          <w:b/>
          <w:sz w:val="24"/>
          <w:szCs w:val="24"/>
        </w:rPr>
        <w:t>el artículo 64 de la Ley de Pensiones</w:t>
      </w:r>
      <w:r>
        <w:rPr>
          <w:rFonts w:ascii="Arial" w:hAnsi="Arial" w:cs="Arial"/>
          <w:sz w:val="24"/>
          <w:szCs w:val="24"/>
        </w:rPr>
        <w:t xml:space="preserve"> </w:t>
      </w:r>
      <w:r w:rsidRPr="00943F14">
        <w:rPr>
          <w:rFonts w:ascii="Arial" w:hAnsi="Arial" w:cs="Arial"/>
          <w:b/>
          <w:sz w:val="24"/>
          <w:szCs w:val="24"/>
        </w:rPr>
        <w:t>para los Trabajadores del Gobierno del Estado</w:t>
      </w:r>
      <w:r>
        <w:rPr>
          <w:rFonts w:ascii="Arial" w:hAnsi="Arial" w:cs="Arial"/>
          <w:sz w:val="24"/>
          <w:szCs w:val="24"/>
        </w:rPr>
        <w:t xml:space="preserve">, por ser discriminatorio y contravenir el artículo 1 Constitucional, para que la actora </w:t>
      </w:r>
      <w:r w:rsidR="0015109E">
        <w:rPr>
          <w:rFonts w:ascii="Arial" w:hAnsi="Arial" w:cs="Arial"/>
          <w:sz w:val="24"/>
          <w:szCs w:val="24"/>
        </w:rPr>
        <w:t>***** ***** ***** *****</w:t>
      </w:r>
      <w:r>
        <w:rPr>
          <w:rFonts w:ascii="Arial" w:hAnsi="Arial" w:cs="Arial"/>
          <w:sz w:val="24"/>
          <w:szCs w:val="24"/>
        </w:rPr>
        <w:t>, pueda obtener la devolución de las aportaciones que efectuó al Fondo de Pensiones; lo anterior en términos del artículo 123</w:t>
      </w:r>
      <w:r w:rsidRPr="000846E9">
        <w:rPr>
          <w:rFonts w:ascii="Arial" w:hAnsi="Arial" w:cs="Arial"/>
          <w:sz w:val="24"/>
          <w:szCs w:val="24"/>
        </w:rPr>
        <w:t xml:space="preserve"> </w:t>
      </w:r>
      <w:r>
        <w:rPr>
          <w:rFonts w:ascii="Arial" w:hAnsi="Arial" w:cs="Arial"/>
          <w:sz w:val="24"/>
          <w:szCs w:val="24"/>
        </w:rPr>
        <w:t xml:space="preserve">apartado B, fracción XIV, de la Constitución Política de los Estados Unidos Mexicanos, consecuentemente, se declara la </w:t>
      </w:r>
      <w:r w:rsidRPr="00DE5509">
        <w:rPr>
          <w:rFonts w:ascii="Arial" w:hAnsi="Arial" w:cs="Arial"/>
          <w:b/>
          <w:sz w:val="24"/>
          <w:szCs w:val="24"/>
        </w:rPr>
        <w:t>NULIDAD</w:t>
      </w:r>
      <w:r>
        <w:rPr>
          <w:rFonts w:ascii="Arial" w:hAnsi="Arial" w:cs="Arial"/>
          <w:sz w:val="24"/>
          <w:szCs w:val="24"/>
        </w:rPr>
        <w:t xml:space="preserve"> del oficio </w:t>
      </w:r>
      <w:r w:rsidR="0015109E">
        <w:rPr>
          <w:rFonts w:ascii="Arial" w:hAnsi="Arial" w:cs="Arial"/>
          <w:sz w:val="24"/>
          <w:szCs w:val="24"/>
        </w:rPr>
        <w:t>OP/DG/DPE/***/2019</w:t>
      </w:r>
      <w:r>
        <w:rPr>
          <w:rFonts w:ascii="Arial" w:hAnsi="Arial" w:cs="Arial"/>
          <w:sz w:val="24"/>
          <w:szCs w:val="24"/>
        </w:rPr>
        <w:t xml:space="preserve">, dictado por el Director General de la Oficina de Pensiones del Estado de Oaxaca, el día dieciocho de febrero de dos mil diecinueve (18/02/2019), </w:t>
      </w:r>
      <w:r w:rsidRPr="00367DC3">
        <w:rPr>
          <w:rFonts w:ascii="Arial" w:hAnsi="Arial" w:cs="Arial"/>
          <w:b/>
          <w:sz w:val="24"/>
          <w:szCs w:val="24"/>
        </w:rPr>
        <w:t>PARA EL EFECTO</w:t>
      </w:r>
      <w:r>
        <w:rPr>
          <w:rFonts w:ascii="Arial" w:hAnsi="Arial" w:cs="Arial"/>
          <w:sz w:val="24"/>
          <w:szCs w:val="24"/>
        </w:rPr>
        <w:t xml:space="preserve"> de que dicte otro, </w:t>
      </w:r>
      <w:r w:rsidRPr="007F2934">
        <w:rPr>
          <w:rFonts w:ascii="Arial" w:hAnsi="Arial" w:cs="Arial"/>
          <w:sz w:val="24"/>
          <w:szCs w:val="24"/>
        </w:rPr>
        <w:t>en el que tomando en consideración las razones expuestas</w:t>
      </w:r>
      <w:r>
        <w:rPr>
          <w:rFonts w:ascii="Arial" w:hAnsi="Arial" w:cs="Arial"/>
          <w:sz w:val="24"/>
          <w:szCs w:val="24"/>
        </w:rPr>
        <w:t>,</w:t>
      </w:r>
      <w:r w:rsidRPr="007F2934">
        <w:rPr>
          <w:rFonts w:ascii="Arial" w:hAnsi="Arial" w:cs="Arial"/>
          <w:sz w:val="24"/>
          <w:szCs w:val="24"/>
        </w:rPr>
        <w:t xml:space="preserve"> ordene la devolución</w:t>
      </w:r>
      <w:r>
        <w:rPr>
          <w:rFonts w:ascii="Arial" w:hAnsi="Arial" w:cs="Arial"/>
          <w:sz w:val="24"/>
          <w:szCs w:val="24"/>
        </w:rPr>
        <w:t xml:space="preserve"> de las aportaciones que le fueron descontadas por concepto de fondo de pensiones solicitadas por la actora.</w:t>
      </w:r>
    </w:p>
    <w:p w:rsidR="00A357D2" w:rsidRDefault="00A357D2" w:rsidP="00A357D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367DC3">
        <w:rPr>
          <w:rFonts w:ascii="Arial" w:hAnsi="Arial" w:cs="Arial"/>
          <w:b/>
          <w:sz w:val="24"/>
          <w:szCs w:val="24"/>
        </w:rPr>
        <w:tab/>
      </w:r>
      <w:r>
        <w:rPr>
          <w:rFonts w:ascii="Arial" w:hAnsi="Arial" w:cs="Arial"/>
          <w:sz w:val="24"/>
          <w:szCs w:val="24"/>
        </w:rPr>
        <w:t xml:space="preserve">Sirve de apoyo a lo anterior, la Jurisprudencia sustentada por la Suprema Corte de Justicia de la Nación, con datos de identificación: Semanario Judicial de la Federación y su Gaceta, Libro XV, Diciembre de 2012, Tomo 1, Décima época, pág. 420, registro 2002264, Jurisprudencia Común, Primera Sala, y de rubro: </w:t>
      </w:r>
      <w:r w:rsidRPr="005435ED">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395A24">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395A24">
        <w:rPr>
          <w:rFonts w:ascii="Arial" w:hAnsi="Arial" w:cs="Arial"/>
          <w:i/>
          <w:sz w:val="24"/>
          <w:szCs w:val="24"/>
        </w:rPr>
        <w:t>“PASOS A SEGUIR EN EL CONTROL DE CONSTITUCIONALIDAD Y CONVENCIONALIDAD EX OFFICIO EN MATERIA DE DERECHOS HUMANOS.</w:t>
      </w:r>
      <w:r w:rsidRPr="00395A24">
        <w:rPr>
          <w:rFonts w:ascii="Arial" w:hAnsi="Arial" w:cs="Arial"/>
          <w:sz w:val="24"/>
          <w:szCs w:val="24"/>
        </w:rPr>
        <w:t>”</w:t>
      </w:r>
    </w:p>
    <w:p w:rsidR="00A357D2" w:rsidRPr="00395A24" w:rsidRDefault="00A357D2" w:rsidP="00A357D2">
      <w:pPr>
        <w:spacing w:line="360" w:lineRule="auto"/>
        <w:ind w:firstLine="708"/>
        <w:jc w:val="both"/>
        <w:rPr>
          <w:rFonts w:ascii="Arial" w:hAnsi="Arial" w:cs="Arial"/>
          <w:sz w:val="24"/>
          <w:szCs w:val="24"/>
        </w:rPr>
      </w:pPr>
      <w:r>
        <w:rPr>
          <w:rFonts w:ascii="Arial" w:hAnsi="Arial" w:cs="Arial"/>
          <w:sz w:val="24"/>
          <w:szCs w:val="24"/>
        </w:rPr>
        <w:t xml:space="preserve">Y la Jurisprudencia identificada en el Apéndice de 2011, Tomo I, Constitucional 3. Derechos Fundamentales Primera Parte-SCJN Vigésima Segunda Sección-Derechos Laborales, Novena Época, pág. 2169, registro 1012200, Jurisprudencia Constitucional Laboral, Segunda Sala, y de rubro: </w:t>
      </w:r>
      <w:r>
        <w:rPr>
          <w:rFonts w:ascii="Arial" w:hAnsi="Arial" w:cs="Arial"/>
          <w:sz w:val="24"/>
          <w:szCs w:val="24"/>
        </w:rPr>
        <w:lastRenderedPageBreak/>
        <w:t>“</w:t>
      </w:r>
      <w:r w:rsidRPr="000E4042">
        <w:rPr>
          <w:rFonts w:ascii="Arial" w:hAnsi="Arial" w:cs="Arial"/>
          <w:i/>
          <w:sz w:val="24"/>
          <w:szCs w:val="24"/>
        </w:rPr>
        <w:t>TRABAJADORES DE CONFIANZA AL S</w:t>
      </w:r>
      <w:bookmarkStart w:id="0" w:name="_GoBack"/>
      <w:bookmarkEnd w:id="0"/>
      <w:r w:rsidRPr="000E4042">
        <w:rPr>
          <w:rFonts w:ascii="Arial" w:hAnsi="Arial" w:cs="Arial"/>
          <w:i/>
          <w:sz w:val="24"/>
          <w:szCs w:val="24"/>
        </w:rPr>
        <w:t xml:space="preserve">ERVICIO DEL ESTADO. AUNQUE NO GOZAN DEL DERECHO A LA ESTABILIDAD EN EL EMPLEO, EL ARTÍCULO 123, APARTADO B, FRACCIÓN XIV, DE LA CONSTITUCIÓN POLÍTICA DE LOS ESTADOS UNIDOS MEXICANOS, LES </w:t>
      </w:r>
      <w:r w:rsidRPr="00D04ED9">
        <w:rPr>
          <w:rFonts w:ascii="Arial" w:hAnsi="Arial" w:cs="Arial"/>
          <w:i/>
          <w:sz w:val="24"/>
          <w:szCs w:val="24"/>
        </w:rPr>
        <w:t>OTORGA DERECHOS DE PROTECCIÓN AL SALARIO Y DE SEGURIDAD SOCIAL</w:t>
      </w:r>
      <w:r w:rsidRPr="00D04ED9">
        <w:rPr>
          <w:rFonts w:ascii="Arial" w:hAnsi="Arial" w:cs="Arial"/>
          <w:sz w:val="24"/>
          <w:szCs w:val="24"/>
        </w:rPr>
        <w:t>.”</w:t>
      </w:r>
    </w:p>
    <w:p w:rsidR="00A357D2" w:rsidRDefault="00A357D2" w:rsidP="00A357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6C74D9">
        <w:rPr>
          <w:rFonts w:ascii="Arial" w:hAnsi="Arial" w:cs="Arial"/>
          <w:sz w:val="24"/>
          <w:szCs w:val="24"/>
        </w:rPr>
        <w:t xml:space="preserve">- - - </w:t>
      </w:r>
    </w:p>
    <w:p w:rsidR="00A357D2" w:rsidRDefault="00A357D2" w:rsidP="00A357D2">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A357D2" w:rsidRDefault="00A357D2" w:rsidP="00A357D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485500">
        <w:rPr>
          <w:rFonts w:ascii="Arial" w:hAnsi="Arial" w:cs="Arial"/>
          <w:sz w:val="24"/>
          <w:szCs w:val="24"/>
        </w:rPr>
        <w:t xml:space="preserve">- </w:t>
      </w:r>
    </w:p>
    <w:p w:rsidR="00A357D2" w:rsidRDefault="00A357D2" w:rsidP="00A357D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DC14DE">
        <w:rPr>
          <w:rFonts w:ascii="Arial" w:hAnsi="Arial" w:cs="Arial"/>
          <w:sz w:val="24"/>
          <w:szCs w:val="24"/>
        </w:rPr>
        <w:t>- - - - - - - - -</w:t>
      </w:r>
    </w:p>
    <w:p w:rsidR="00A357D2" w:rsidRDefault="00A357D2" w:rsidP="00A357D2">
      <w:pPr>
        <w:tabs>
          <w:tab w:val="center" w:pos="4574"/>
        </w:tabs>
        <w:spacing w:line="360" w:lineRule="auto"/>
        <w:ind w:firstLine="708"/>
        <w:jc w:val="both"/>
        <w:rPr>
          <w:rFonts w:ascii="Arial" w:hAnsi="Arial" w:cs="Arial"/>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b/>
          <w:sz w:val="24"/>
          <w:szCs w:val="24"/>
        </w:rPr>
        <w:t xml:space="preserve"> </w:t>
      </w:r>
      <w:r>
        <w:rPr>
          <w:rFonts w:ascii="Arial" w:hAnsi="Arial" w:cs="Arial"/>
          <w:sz w:val="24"/>
          <w:szCs w:val="24"/>
        </w:rPr>
        <w:t xml:space="preserve">del oficio </w:t>
      </w:r>
      <w:r w:rsidR="0015109E">
        <w:rPr>
          <w:rFonts w:ascii="Arial" w:hAnsi="Arial" w:cs="Arial"/>
          <w:sz w:val="24"/>
          <w:szCs w:val="24"/>
        </w:rPr>
        <w:t>OP/DG/DPE/***/2019</w:t>
      </w:r>
      <w:r>
        <w:rPr>
          <w:rFonts w:ascii="Arial" w:hAnsi="Arial" w:cs="Arial"/>
          <w:sz w:val="24"/>
          <w:szCs w:val="24"/>
        </w:rPr>
        <w:t xml:space="preserve">, dictado por el Director General de la Oficina de Pensiones del Estado de Oaxaca el día dieciocho de febrero de dos mil diecinueve (18/02/2019), </w:t>
      </w:r>
      <w:r w:rsidRPr="00367DC3">
        <w:rPr>
          <w:rFonts w:ascii="Arial" w:hAnsi="Arial" w:cs="Arial"/>
          <w:b/>
          <w:sz w:val="24"/>
          <w:szCs w:val="24"/>
        </w:rPr>
        <w:t>PARA EL EFECTO</w:t>
      </w:r>
      <w:r>
        <w:rPr>
          <w:rFonts w:ascii="Arial" w:hAnsi="Arial" w:cs="Arial"/>
          <w:sz w:val="24"/>
          <w:szCs w:val="24"/>
        </w:rPr>
        <w:t xml:space="preserve"> de que dicte otro, en </w:t>
      </w:r>
      <w:r w:rsidRPr="00071915">
        <w:rPr>
          <w:rFonts w:ascii="Arial" w:hAnsi="Arial" w:cs="Arial"/>
          <w:sz w:val="24"/>
          <w:szCs w:val="24"/>
        </w:rPr>
        <w:t>el que tomando en consideración las razones aquí expuestas, ordene la devolución</w:t>
      </w:r>
      <w:r>
        <w:rPr>
          <w:rFonts w:ascii="Arial" w:hAnsi="Arial" w:cs="Arial"/>
          <w:sz w:val="24"/>
          <w:szCs w:val="24"/>
        </w:rPr>
        <w:t xml:space="preserve"> de las aportaciones solicitadas por la actora; lo anterior en términos precisados en el considerando SEXTO de esta resolución. - - - - - </w:t>
      </w:r>
      <w:r w:rsidR="006715DA">
        <w:rPr>
          <w:rFonts w:ascii="Arial" w:hAnsi="Arial" w:cs="Arial"/>
          <w:sz w:val="24"/>
          <w:szCs w:val="24"/>
        </w:rPr>
        <w:t>- - - - - - - - - - - - - - - - - - - - -</w:t>
      </w:r>
    </w:p>
    <w:p w:rsidR="00A357D2" w:rsidRDefault="00A357D2" w:rsidP="00A357D2">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w:t>
      </w:r>
      <w:r>
        <w:rPr>
          <w:rFonts w:ascii="Arial" w:hAnsi="Arial" w:cs="Arial"/>
          <w:sz w:val="24"/>
          <w:szCs w:val="24"/>
        </w:rPr>
        <w:t xml:space="preserve">- </w:t>
      </w:r>
    </w:p>
    <w:p w:rsidR="00A357D2" w:rsidRPr="00746184" w:rsidRDefault="00A357D2" w:rsidP="00A357D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22A4F">
        <w:rPr>
          <w:rFonts w:ascii="Arial" w:hAnsi="Arial" w:cs="Arial"/>
          <w:sz w:val="24"/>
          <w:szCs w:val="24"/>
        </w:rPr>
        <w:t xml:space="preserve">- - - - - - - - - - - </w:t>
      </w:r>
    </w:p>
    <w:p w:rsidR="0048608F" w:rsidRPr="00F66A57" w:rsidRDefault="0048608F" w:rsidP="00F66A57"/>
    <w:sectPr w:rsidR="0048608F" w:rsidRPr="00F66A57" w:rsidSect="00056EEE">
      <w:headerReference w:type="even" r:id="rId7"/>
      <w:headerReference w:type="default" r:id="rId8"/>
      <w:footerReference w:type="default" r:id="rId9"/>
      <w:headerReference w:type="first" r:id="rId10"/>
      <w:pgSz w:w="12240" w:h="20160" w:code="5"/>
      <w:pgMar w:top="851" w:right="1701" w:bottom="2268"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C9" w:rsidRDefault="00546FC9" w:rsidP="007A5B5E">
      <w:pPr>
        <w:spacing w:after="0" w:line="240" w:lineRule="auto"/>
      </w:pPr>
      <w:r>
        <w:separator/>
      </w:r>
    </w:p>
  </w:endnote>
  <w:endnote w:type="continuationSeparator" w:id="0">
    <w:p w:rsidR="00546FC9" w:rsidRDefault="00546FC9"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612E57FC" wp14:editId="49F2431A">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26F04" w:rsidRPr="00C26F04">
                                <w:rPr>
                                  <w:noProof/>
                                  <w:color w:val="000000" w:themeColor="text1"/>
                                  <w:lang w:val="es-ES"/>
                                </w:rPr>
                                <w:t>1</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E57F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26F04" w:rsidRPr="00C26F04">
                          <w:rPr>
                            <w:noProof/>
                            <w:color w:val="000000" w:themeColor="text1"/>
                            <w:lang w:val="es-ES"/>
                          </w:rPr>
                          <w:t>1</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C9" w:rsidRDefault="00546FC9" w:rsidP="007A5B5E">
      <w:pPr>
        <w:spacing w:after="0" w:line="240" w:lineRule="auto"/>
      </w:pPr>
      <w:r>
        <w:separator/>
      </w:r>
    </w:p>
  </w:footnote>
  <w:footnote w:type="continuationSeparator" w:id="0">
    <w:p w:rsidR="00546FC9" w:rsidRDefault="00546FC9"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175AF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502CFFFC" wp14:editId="69654734">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7DC4943C" wp14:editId="7977B482">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CFFFC"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7DC4943C" wp14:editId="7977B482">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F66A57">
      <w:rPr>
        <w:rFonts w:ascii="Bookman Old Style" w:hAnsi="Bookman Old Style"/>
        <w:b/>
      </w:rPr>
      <w:t>015</w:t>
    </w:r>
    <w:r w:rsidRPr="00B87741">
      <w:rPr>
        <w:rFonts w:ascii="Bookman Old Style" w:hAnsi="Bookman Old Style"/>
        <w:b/>
        <w:sz w:val="24"/>
        <w:szCs w:val="24"/>
      </w:rPr>
      <w:t>/</w:t>
    </w:r>
    <w:r w:rsidRPr="002F2D7B">
      <w:rPr>
        <w:rFonts w:ascii="Bookman Old Style" w:hAnsi="Bookman Old Style"/>
        <w:b/>
        <w:sz w:val="24"/>
        <w:szCs w:val="24"/>
      </w:rPr>
      <w:t>201</w:t>
    </w:r>
    <w:r w:rsidR="00273025">
      <w:rPr>
        <w:rFonts w:ascii="Bookman Old Style" w:hAnsi="Bookman Old Style"/>
        <w:b/>
        <w:sz w:val="24"/>
        <w:szCs w:val="24"/>
      </w:rPr>
      <w:t>9</w:t>
    </w:r>
  </w:p>
  <w:p w:rsidR="00A4373C" w:rsidRPr="00071C38" w:rsidRDefault="0015109E"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776" behindDoc="1" locked="0" layoutInCell="1" allowOverlap="1" wp14:anchorId="19AB2389" wp14:editId="557F105E">
              <wp:simplePos x="0" y="0"/>
              <wp:positionH relativeFrom="column">
                <wp:posOffset>-1295400</wp:posOffset>
              </wp:positionH>
              <wp:positionV relativeFrom="paragraph">
                <wp:posOffset>4305300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15109E" w:rsidRPr="003B6E97" w:rsidRDefault="0015109E" w:rsidP="0015109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B2389" id="Cuadro de texto 12" o:spid="_x0000_s1027" type="#_x0000_t202" style="position:absolute;left:0;text-align:left;margin-left:-102pt;margin-top:339pt;width:89.55pt;height:1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">
              <v:textbox>
                <w:txbxContent>
                  <w:p w:rsidR="0015109E" w:rsidRPr="003B6E97" w:rsidRDefault="0015109E" w:rsidP="0015109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6D697BDE" wp14:editId="02C1D5A9">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175AF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EA7"/>
    <w:multiLevelType w:val="hybridMultilevel"/>
    <w:tmpl w:val="C5C47D3A"/>
    <w:lvl w:ilvl="0" w:tplc="8C1206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308C1D14"/>
    <w:multiLevelType w:val="hybridMultilevel"/>
    <w:tmpl w:val="7BFCDBEA"/>
    <w:lvl w:ilvl="0" w:tplc="2D4ABC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740874"/>
    <w:multiLevelType w:val="hybridMultilevel"/>
    <w:tmpl w:val="EA507C90"/>
    <w:lvl w:ilvl="0" w:tplc="974CDC24">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12762"/>
    <w:rsid w:val="00022D97"/>
    <w:rsid w:val="000268AE"/>
    <w:rsid w:val="00033A92"/>
    <w:rsid w:val="00034A10"/>
    <w:rsid w:val="00037568"/>
    <w:rsid w:val="00045647"/>
    <w:rsid w:val="00054DF6"/>
    <w:rsid w:val="00056EEE"/>
    <w:rsid w:val="00062DC6"/>
    <w:rsid w:val="000679B2"/>
    <w:rsid w:val="00067DE1"/>
    <w:rsid w:val="00080379"/>
    <w:rsid w:val="00085C5D"/>
    <w:rsid w:val="00086629"/>
    <w:rsid w:val="000A1953"/>
    <w:rsid w:val="000A7EF7"/>
    <w:rsid w:val="000B41EC"/>
    <w:rsid w:val="000C2D07"/>
    <w:rsid w:val="000D332F"/>
    <w:rsid w:val="000D7002"/>
    <w:rsid w:val="000F2A5A"/>
    <w:rsid w:val="0010130E"/>
    <w:rsid w:val="0010171D"/>
    <w:rsid w:val="00102428"/>
    <w:rsid w:val="00103E7F"/>
    <w:rsid w:val="001062D2"/>
    <w:rsid w:val="00117886"/>
    <w:rsid w:val="00121484"/>
    <w:rsid w:val="001323F3"/>
    <w:rsid w:val="0015109E"/>
    <w:rsid w:val="00175AF4"/>
    <w:rsid w:val="0019193E"/>
    <w:rsid w:val="001A273D"/>
    <w:rsid w:val="001A3488"/>
    <w:rsid w:val="001A420D"/>
    <w:rsid w:val="001B0015"/>
    <w:rsid w:val="001B31AA"/>
    <w:rsid w:val="001B3EDE"/>
    <w:rsid w:val="001C581E"/>
    <w:rsid w:val="001D595D"/>
    <w:rsid w:val="002019F1"/>
    <w:rsid w:val="002273C1"/>
    <w:rsid w:val="00227673"/>
    <w:rsid w:val="00227B0E"/>
    <w:rsid w:val="00231BB4"/>
    <w:rsid w:val="00237BFA"/>
    <w:rsid w:val="00242030"/>
    <w:rsid w:val="002476D8"/>
    <w:rsid w:val="00256213"/>
    <w:rsid w:val="00264419"/>
    <w:rsid w:val="00266D60"/>
    <w:rsid w:val="00273025"/>
    <w:rsid w:val="00274840"/>
    <w:rsid w:val="00282C25"/>
    <w:rsid w:val="0028642F"/>
    <w:rsid w:val="002A1A88"/>
    <w:rsid w:val="002B1091"/>
    <w:rsid w:val="002D049B"/>
    <w:rsid w:val="002D1C5C"/>
    <w:rsid w:val="002D50CB"/>
    <w:rsid w:val="002E0A6B"/>
    <w:rsid w:val="002E45CD"/>
    <w:rsid w:val="002F0DE0"/>
    <w:rsid w:val="002F7E67"/>
    <w:rsid w:val="00314069"/>
    <w:rsid w:val="0032191E"/>
    <w:rsid w:val="00324531"/>
    <w:rsid w:val="0034172C"/>
    <w:rsid w:val="00362621"/>
    <w:rsid w:val="00362B10"/>
    <w:rsid w:val="0036559B"/>
    <w:rsid w:val="00367CD8"/>
    <w:rsid w:val="00372164"/>
    <w:rsid w:val="00372348"/>
    <w:rsid w:val="003739C0"/>
    <w:rsid w:val="00375885"/>
    <w:rsid w:val="00375B6F"/>
    <w:rsid w:val="0037735A"/>
    <w:rsid w:val="00387429"/>
    <w:rsid w:val="00387F33"/>
    <w:rsid w:val="00393A57"/>
    <w:rsid w:val="003A766C"/>
    <w:rsid w:val="003B1785"/>
    <w:rsid w:val="003B3C3C"/>
    <w:rsid w:val="003C5391"/>
    <w:rsid w:val="003E104E"/>
    <w:rsid w:val="003E6BD1"/>
    <w:rsid w:val="003F5F1A"/>
    <w:rsid w:val="003F7AB5"/>
    <w:rsid w:val="00402CA6"/>
    <w:rsid w:val="00407214"/>
    <w:rsid w:val="00412725"/>
    <w:rsid w:val="00420019"/>
    <w:rsid w:val="00427547"/>
    <w:rsid w:val="004319A5"/>
    <w:rsid w:val="00433354"/>
    <w:rsid w:val="00433716"/>
    <w:rsid w:val="00434450"/>
    <w:rsid w:val="00440D9A"/>
    <w:rsid w:val="00440DC5"/>
    <w:rsid w:val="004667D8"/>
    <w:rsid w:val="00473912"/>
    <w:rsid w:val="00475A77"/>
    <w:rsid w:val="00476F7D"/>
    <w:rsid w:val="00485500"/>
    <w:rsid w:val="0048552C"/>
    <w:rsid w:val="0048608F"/>
    <w:rsid w:val="004B074C"/>
    <w:rsid w:val="004B524C"/>
    <w:rsid w:val="004D7A34"/>
    <w:rsid w:val="004F162F"/>
    <w:rsid w:val="00502478"/>
    <w:rsid w:val="00502589"/>
    <w:rsid w:val="00504FCD"/>
    <w:rsid w:val="005221FE"/>
    <w:rsid w:val="00522A4F"/>
    <w:rsid w:val="00524EF5"/>
    <w:rsid w:val="00533998"/>
    <w:rsid w:val="005401D7"/>
    <w:rsid w:val="00542573"/>
    <w:rsid w:val="00544394"/>
    <w:rsid w:val="00546FC9"/>
    <w:rsid w:val="00553A79"/>
    <w:rsid w:val="00555EC8"/>
    <w:rsid w:val="00566511"/>
    <w:rsid w:val="00571121"/>
    <w:rsid w:val="0058166F"/>
    <w:rsid w:val="0059235B"/>
    <w:rsid w:val="00594EC0"/>
    <w:rsid w:val="005A776C"/>
    <w:rsid w:val="005A7853"/>
    <w:rsid w:val="005B1B32"/>
    <w:rsid w:val="005B211C"/>
    <w:rsid w:val="005B3800"/>
    <w:rsid w:val="005B6473"/>
    <w:rsid w:val="005C4441"/>
    <w:rsid w:val="005E1297"/>
    <w:rsid w:val="00604785"/>
    <w:rsid w:val="006050EC"/>
    <w:rsid w:val="00605FD1"/>
    <w:rsid w:val="006179D5"/>
    <w:rsid w:val="00627280"/>
    <w:rsid w:val="00631E6F"/>
    <w:rsid w:val="00633B84"/>
    <w:rsid w:val="00640240"/>
    <w:rsid w:val="006406B1"/>
    <w:rsid w:val="00644003"/>
    <w:rsid w:val="006635AF"/>
    <w:rsid w:val="00665C49"/>
    <w:rsid w:val="006663FA"/>
    <w:rsid w:val="006675F6"/>
    <w:rsid w:val="00671276"/>
    <w:rsid w:val="006715DA"/>
    <w:rsid w:val="006720CF"/>
    <w:rsid w:val="00674CC7"/>
    <w:rsid w:val="00680A5D"/>
    <w:rsid w:val="006A11E3"/>
    <w:rsid w:val="006A28D2"/>
    <w:rsid w:val="006A673B"/>
    <w:rsid w:val="006A6B10"/>
    <w:rsid w:val="006B5994"/>
    <w:rsid w:val="006B5E0A"/>
    <w:rsid w:val="006C74D9"/>
    <w:rsid w:val="006D0360"/>
    <w:rsid w:val="006D192F"/>
    <w:rsid w:val="006E0198"/>
    <w:rsid w:val="006F0A48"/>
    <w:rsid w:val="006F51F4"/>
    <w:rsid w:val="006F5239"/>
    <w:rsid w:val="0071474B"/>
    <w:rsid w:val="00714E8F"/>
    <w:rsid w:val="0071537A"/>
    <w:rsid w:val="007312A2"/>
    <w:rsid w:val="00770A31"/>
    <w:rsid w:val="00772907"/>
    <w:rsid w:val="007846E5"/>
    <w:rsid w:val="0079545D"/>
    <w:rsid w:val="007A22EE"/>
    <w:rsid w:val="007A44BA"/>
    <w:rsid w:val="007A5119"/>
    <w:rsid w:val="007A5B5E"/>
    <w:rsid w:val="007A7A48"/>
    <w:rsid w:val="007B4FFD"/>
    <w:rsid w:val="007C6EFA"/>
    <w:rsid w:val="007D55ED"/>
    <w:rsid w:val="007E2943"/>
    <w:rsid w:val="007E51B4"/>
    <w:rsid w:val="007F0760"/>
    <w:rsid w:val="007F2831"/>
    <w:rsid w:val="007F60E9"/>
    <w:rsid w:val="008144D8"/>
    <w:rsid w:val="00820232"/>
    <w:rsid w:val="0082288F"/>
    <w:rsid w:val="00836BB6"/>
    <w:rsid w:val="00836D84"/>
    <w:rsid w:val="00846D5B"/>
    <w:rsid w:val="00850F70"/>
    <w:rsid w:val="00851860"/>
    <w:rsid w:val="00854294"/>
    <w:rsid w:val="008846DD"/>
    <w:rsid w:val="008911C8"/>
    <w:rsid w:val="00896F1B"/>
    <w:rsid w:val="008973C3"/>
    <w:rsid w:val="008A0DB8"/>
    <w:rsid w:val="008A4EBD"/>
    <w:rsid w:val="008D17E8"/>
    <w:rsid w:val="008D2F2D"/>
    <w:rsid w:val="008E656B"/>
    <w:rsid w:val="008F378D"/>
    <w:rsid w:val="008F4675"/>
    <w:rsid w:val="008F4EA9"/>
    <w:rsid w:val="009015F9"/>
    <w:rsid w:val="009032BC"/>
    <w:rsid w:val="00904443"/>
    <w:rsid w:val="00913A5B"/>
    <w:rsid w:val="009156C4"/>
    <w:rsid w:val="009178C8"/>
    <w:rsid w:val="0092037B"/>
    <w:rsid w:val="0093785B"/>
    <w:rsid w:val="00953189"/>
    <w:rsid w:val="009575F5"/>
    <w:rsid w:val="009963CC"/>
    <w:rsid w:val="009972DA"/>
    <w:rsid w:val="009A10C0"/>
    <w:rsid w:val="009A3359"/>
    <w:rsid w:val="009B3A19"/>
    <w:rsid w:val="009B7578"/>
    <w:rsid w:val="009B7B93"/>
    <w:rsid w:val="009D6D39"/>
    <w:rsid w:val="009F2123"/>
    <w:rsid w:val="00A057F6"/>
    <w:rsid w:val="00A068EB"/>
    <w:rsid w:val="00A13F37"/>
    <w:rsid w:val="00A17ABB"/>
    <w:rsid w:val="00A206A3"/>
    <w:rsid w:val="00A3160F"/>
    <w:rsid w:val="00A357D2"/>
    <w:rsid w:val="00A371D5"/>
    <w:rsid w:val="00A377F9"/>
    <w:rsid w:val="00A51258"/>
    <w:rsid w:val="00A57E36"/>
    <w:rsid w:val="00A811AE"/>
    <w:rsid w:val="00A879E4"/>
    <w:rsid w:val="00A917BE"/>
    <w:rsid w:val="00AA62AE"/>
    <w:rsid w:val="00AA7145"/>
    <w:rsid w:val="00AC05A6"/>
    <w:rsid w:val="00AF5B34"/>
    <w:rsid w:val="00B044C2"/>
    <w:rsid w:val="00B22B25"/>
    <w:rsid w:val="00B22DC7"/>
    <w:rsid w:val="00B37BED"/>
    <w:rsid w:val="00B438E5"/>
    <w:rsid w:val="00B4639E"/>
    <w:rsid w:val="00B46E86"/>
    <w:rsid w:val="00B53C8F"/>
    <w:rsid w:val="00B61077"/>
    <w:rsid w:val="00B7407D"/>
    <w:rsid w:val="00B86059"/>
    <w:rsid w:val="00B94C99"/>
    <w:rsid w:val="00BA251A"/>
    <w:rsid w:val="00BB4F0B"/>
    <w:rsid w:val="00BC5D03"/>
    <w:rsid w:val="00BD0DA4"/>
    <w:rsid w:val="00BE1DD4"/>
    <w:rsid w:val="00BE26D9"/>
    <w:rsid w:val="00BE3865"/>
    <w:rsid w:val="00BF2E0E"/>
    <w:rsid w:val="00C15DB6"/>
    <w:rsid w:val="00C20B6F"/>
    <w:rsid w:val="00C26F04"/>
    <w:rsid w:val="00C3005E"/>
    <w:rsid w:val="00C33CED"/>
    <w:rsid w:val="00C349DF"/>
    <w:rsid w:val="00C37DF5"/>
    <w:rsid w:val="00C41270"/>
    <w:rsid w:val="00C44DDE"/>
    <w:rsid w:val="00C50828"/>
    <w:rsid w:val="00C56B89"/>
    <w:rsid w:val="00C67280"/>
    <w:rsid w:val="00C7097E"/>
    <w:rsid w:val="00C81E73"/>
    <w:rsid w:val="00CB0191"/>
    <w:rsid w:val="00CB1103"/>
    <w:rsid w:val="00CB466F"/>
    <w:rsid w:val="00CB5CCC"/>
    <w:rsid w:val="00CD140A"/>
    <w:rsid w:val="00CD43CA"/>
    <w:rsid w:val="00D266C0"/>
    <w:rsid w:val="00D300B5"/>
    <w:rsid w:val="00D341B7"/>
    <w:rsid w:val="00D35CB2"/>
    <w:rsid w:val="00D36878"/>
    <w:rsid w:val="00D44940"/>
    <w:rsid w:val="00D4537E"/>
    <w:rsid w:val="00D67F35"/>
    <w:rsid w:val="00D8282E"/>
    <w:rsid w:val="00D841BC"/>
    <w:rsid w:val="00DB142A"/>
    <w:rsid w:val="00DC14DE"/>
    <w:rsid w:val="00DC24B5"/>
    <w:rsid w:val="00DE3267"/>
    <w:rsid w:val="00DF431D"/>
    <w:rsid w:val="00DF596A"/>
    <w:rsid w:val="00E05E49"/>
    <w:rsid w:val="00E27318"/>
    <w:rsid w:val="00E278E3"/>
    <w:rsid w:val="00E3025F"/>
    <w:rsid w:val="00E355F4"/>
    <w:rsid w:val="00E5150B"/>
    <w:rsid w:val="00E551C5"/>
    <w:rsid w:val="00E619E9"/>
    <w:rsid w:val="00E70AF2"/>
    <w:rsid w:val="00E764E3"/>
    <w:rsid w:val="00E76510"/>
    <w:rsid w:val="00E90C31"/>
    <w:rsid w:val="00E91751"/>
    <w:rsid w:val="00EA2229"/>
    <w:rsid w:val="00EA5B8C"/>
    <w:rsid w:val="00ED0588"/>
    <w:rsid w:val="00ED0959"/>
    <w:rsid w:val="00ED5611"/>
    <w:rsid w:val="00EE3204"/>
    <w:rsid w:val="00EE66A3"/>
    <w:rsid w:val="00EE69CB"/>
    <w:rsid w:val="00EF77C0"/>
    <w:rsid w:val="00F00D08"/>
    <w:rsid w:val="00F1260F"/>
    <w:rsid w:val="00F13121"/>
    <w:rsid w:val="00F14EC5"/>
    <w:rsid w:val="00F2100B"/>
    <w:rsid w:val="00F21161"/>
    <w:rsid w:val="00F228AA"/>
    <w:rsid w:val="00F24B6D"/>
    <w:rsid w:val="00F25B5E"/>
    <w:rsid w:val="00F35133"/>
    <w:rsid w:val="00F57AB8"/>
    <w:rsid w:val="00F65989"/>
    <w:rsid w:val="00F668A7"/>
    <w:rsid w:val="00F66A57"/>
    <w:rsid w:val="00F767DC"/>
    <w:rsid w:val="00F85C13"/>
    <w:rsid w:val="00F85E9E"/>
    <w:rsid w:val="00F9203A"/>
    <w:rsid w:val="00F965D8"/>
    <w:rsid w:val="00F969CE"/>
    <w:rsid w:val="00FA2DE8"/>
    <w:rsid w:val="00FC45EE"/>
    <w:rsid w:val="00FC4F6A"/>
    <w:rsid w:val="00FE2437"/>
    <w:rsid w:val="00FE673E"/>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F92DBB"/>
  <w15:docId w15:val="{6EC84325-A51A-4980-9EF5-2B88D89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7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 w:type="paragraph" w:styleId="Prrafodelista">
    <w:name w:val="List Paragraph"/>
    <w:basedOn w:val="Normal"/>
    <w:uiPriority w:val="34"/>
    <w:qFormat/>
    <w:rsid w:val="003F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10</Pages>
  <Words>3767</Words>
  <Characters>20720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315</cp:revision>
  <cp:lastPrinted>2019-10-28T19:07:00Z</cp:lastPrinted>
  <dcterms:created xsi:type="dcterms:W3CDTF">2019-07-08T16:38:00Z</dcterms:created>
  <dcterms:modified xsi:type="dcterms:W3CDTF">2020-01-10T17:02:00Z</dcterms:modified>
</cp:coreProperties>
</file>