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90" w:rsidRPr="001D27A4" w:rsidRDefault="00D16F90" w:rsidP="00D16F90">
      <w:pPr>
        <w:tabs>
          <w:tab w:val="center" w:pos="4419"/>
          <w:tab w:val="left" w:pos="5245"/>
          <w:tab w:val="right" w:pos="8931"/>
        </w:tabs>
        <w:ind w:left="4248"/>
        <w:jc w:val="both"/>
        <w:rPr>
          <w:rFonts w:ascii="Arial" w:eastAsia="Calibri" w:hAnsi="Arial" w:cs="Arial"/>
          <w:b/>
          <w:sz w:val="23"/>
          <w:szCs w:val="23"/>
        </w:rPr>
      </w:pPr>
      <w:r w:rsidRPr="001D27A4">
        <w:rPr>
          <w:rFonts w:ascii="Arial" w:eastAsia="Calibri" w:hAnsi="Arial" w:cs="Arial"/>
          <w:b/>
          <w:sz w:val="23"/>
          <w:szCs w:val="23"/>
        </w:rPr>
        <w:t>SEGUNDA SA</w:t>
      </w:r>
      <w:bookmarkStart w:id="0" w:name="_GoBack"/>
      <w:bookmarkEnd w:id="0"/>
      <w:r w:rsidRPr="001D27A4">
        <w:rPr>
          <w:rFonts w:ascii="Arial" w:eastAsia="Calibri" w:hAnsi="Arial" w:cs="Arial"/>
          <w:b/>
          <w:sz w:val="23"/>
          <w:szCs w:val="23"/>
        </w:rPr>
        <w:t>LA UNITA                                                                                                                                                                                                                                                                                                                                                                                                                                                                                                                                                                                                                                                                                                                                                                                                                                                                                                                                                                                                                                                                                                                                    RIA DE PRIMERA INSTANCIA DEL TRIBUNAL DE JUSTICIA ADMINISTRATIVA DEL ESTADO DE OAXACA.</w:t>
      </w:r>
    </w:p>
    <w:p w:rsidR="00D16F90" w:rsidRPr="00505146" w:rsidRDefault="00D16F90" w:rsidP="00D16F90">
      <w:pPr>
        <w:tabs>
          <w:tab w:val="center" w:pos="4419"/>
          <w:tab w:val="right" w:pos="8931"/>
        </w:tabs>
        <w:ind w:left="4248"/>
        <w:jc w:val="both"/>
        <w:rPr>
          <w:rFonts w:ascii="Arial" w:eastAsia="Calibri" w:hAnsi="Arial" w:cs="Arial"/>
          <w:sz w:val="23"/>
          <w:szCs w:val="23"/>
        </w:rPr>
      </w:pPr>
    </w:p>
    <w:p w:rsidR="00D16F90" w:rsidRPr="00505146" w:rsidRDefault="00D16F90" w:rsidP="00D16F90">
      <w:pPr>
        <w:tabs>
          <w:tab w:val="center" w:pos="4419"/>
          <w:tab w:val="right" w:pos="8931"/>
        </w:tabs>
        <w:ind w:left="4248"/>
        <w:jc w:val="both"/>
        <w:rPr>
          <w:rFonts w:ascii="Arial" w:eastAsia="Calibri" w:hAnsi="Arial" w:cs="Arial"/>
          <w:sz w:val="23"/>
          <w:szCs w:val="23"/>
        </w:rPr>
      </w:pPr>
      <w:r w:rsidRPr="001D27A4">
        <w:rPr>
          <w:rFonts w:ascii="Arial" w:eastAsia="Calibri" w:hAnsi="Arial" w:cs="Arial"/>
          <w:b/>
          <w:sz w:val="23"/>
          <w:szCs w:val="23"/>
        </w:rPr>
        <w:t>EXPEDIENTE:</w:t>
      </w:r>
      <w:r>
        <w:rPr>
          <w:rFonts w:ascii="Arial" w:eastAsia="Calibri" w:hAnsi="Arial" w:cs="Arial"/>
          <w:sz w:val="23"/>
          <w:szCs w:val="23"/>
        </w:rPr>
        <w:t xml:space="preserve"> 09/2017</w:t>
      </w:r>
    </w:p>
    <w:p w:rsidR="00D16F90" w:rsidRPr="00505146" w:rsidRDefault="00D16F90" w:rsidP="00D16F90">
      <w:pPr>
        <w:spacing w:before="240" w:line="360" w:lineRule="auto"/>
        <w:ind w:firstLine="709"/>
        <w:jc w:val="both"/>
        <w:rPr>
          <w:rFonts w:ascii="Arial" w:eastAsia="Calibri" w:hAnsi="Arial" w:cs="Arial"/>
          <w:b/>
          <w:sz w:val="23"/>
          <w:szCs w:val="23"/>
        </w:rPr>
      </w:pPr>
      <w:r w:rsidRPr="00505146">
        <w:rPr>
          <w:rFonts w:ascii="Arial" w:eastAsia="Calibri" w:hAnsi="Arial" w:cs="Arial"/>
          <w:b/>
          <w:sz w:val="23"/>
          <w:szCs w:val="23"/>
        </w:rPr>
        <w:t xml:space="preserve">OAXACA DE JUÁREZ, OAXACA, A </w:t>
      </w:r>
      <w:r>
        <w:rPr>
          <w:rFonts w:ascii="Arial" w:eastAsia="Calibri" w:hAnsi="Arial" w:cs="Arial"/>
          <w:b/>
          <w:sz w:val="23"/>
          <w:szCs w:val="23"/>
        </w:rPr>
        <w:t>VEINTICINCO DE ABRIL</w:t>
      </w:r>
      <w:r w:rsidRPr="00505146">
        <w:rPr>
          <w:rFonts w:ascii="Arial" w:eastAsia="Calibri" w:hAnsi="Arial" w:cs="Arial"/>
          <w:b/>
          <w:sz w:val="23"/>
          <w:szCs w:val="23"/>
        </w:rPr>
        <w:t xml:space="preserve"> DE DOS MIL DIECINUEVE.</w:t>
      </w:r>
    </w:p>
    <w:p w:rsidR="00D16F90" w:rsidRPr="00505146" w:rsidRDefault="00D16F90" w:rsidP="00D16F90">
      <w:pPr>
        <w:spacing w:line="360" w:lineRule="auto"/>
        <w:jc w:val="both"/>
        <w:rPr>
          <w:rFonts w:ascii="Arial" w:eastAsia="Calibri" w:hAnsi="Arial" w:cs="Arial"/>
          <w:sz w:val="23"/>
          <w:szCs w:val="23"/>
        </w:rPr>
      </w:pPr>
      <w:r w:rsidRPr="00505146">
        <w:rPr>
          <w:rFonts w:ascii="Arial" w:eastAsia="Calibri" w:hAnsi="Arial" w:cs="Arial"/>
          <w:b/>
          <w:sz w:val="23"/>
          <w:szCs w:val="23"/>
        </w:rPr>
        <w:tab/>
        <w:t xml:space="preserve">V I S T O S, </w:t>
      </w:r>
      <w:r w:rsidRPr="00505146">
        <w:rPr>
          <w:rFonts w:ascii="Arial" w:eastAsia="Calibri" w:hAnsi="Arial" w:cs="Arial"/>
          <w:sz w:val="23"/>
          <w:szCs w:val="23"/>
        </w:rPr>
        <w:t xml:space="preserve">para resolver los autos del Juicio de Nulidad </w:t>
      </w:r>
      <w:r>
        <w:rPr>
          <w:rFonts w:ascii="Arial" w:eastAsia="Calibri" w:hAnsi="Arial" w:cs="Arial"/>
          <w:sz w:val="23"/>
          <w:szCs w:val="23"/>
        </w:rPr>
        <w:t>09/2017</w:t>
      </w:r>
      <w:r w:rsidRPr="00505146">
        <w:rPr>
          <w:rFonts w:ascii="Arial" w:eastAsia="Calibri" w:hAnsi="Arial" w:cs="Arial"/>
          <w:sz w:val="23"/>
          <w:szCs w:val="23"/>
        </w:rPr>
        <w:t xml:space="preserve">, promovido por </w:t>
      </w:r>
      <w:r>
        <w:rPr>
          <w:rFonts w:ascii="Arial" w:eastAsia="Calibri" w:hAnsi="Arial" w:cs="Arial"/>
          <w:b/>
          <w:sz w:val="23"/>
          <w:szCs w:val="23"/>
        </w:rPr>
        <w:t>**********</w:t>
      </w:r>
      <w:r w:rsidRPr="00505146">
        <w:rPr>
          <w:rFonts w:ascii="Arial" w:eastAsia="Calibri" w:hAnsi="Arial" w:cs="Arial"/>
          <w:sz w:val="23"/>
          <w:szCs w:val="23"/>
        </w:rPr>
        <w:t xml:space="preserve">, en contra del </w:t>
      </w:r>
      <w:r w:rsidRPr="001D27A4">
        <w:rPr>
          <w:rFonts w:ascii="Arial" w:eastAsia="Calibri" w:hAnsi="Arial" w:cs="Arial"/>
          <w:b/>
          <w:sz w:val="23"/>
          <w:szCs w:val="23"/>
        </w:rPr>
        <w:t>DIRECTOR GENERAL DE LA OFICINA DE PENSIONES DEL ESTADO DE OAXACA Y DEL CONSEJO DIRECTIVO DE LA OFICINA DE PENSIONES DEL ESTADO DE OAXACA.</w:t>
      </w:r>
    </w:p>
    <w:p w:rsidR="00D16F90" w:rsidRPr="00505146" w:rsidRDefault="00D16F90" w:rsidP="00D16F90">
      <w:pPr>
        <w:spacing w:line="360" w:lineRule="auto"/>
        <w:jc w:val="center"/>
        <w:rPr>
          <w:rFonts w:ascii="Arial" w:eastAsia="Calibri" w:hAnsi="Arial" w:cs="Arial"/>
          <w:b/>
          <w:sz w:val="23"/>
          <w:szCs w:val="23"/>
        </w:rPr>
      </w:pPr>
      <w:r w:rsidRPr="00505146">
        <w:rPr>
          <w:rFonts w:ascii="Arial" w:eastAsia="Calibri" w:hAnsi="Arial" w:cs="Arial"/>
          <w:b/>
          <w:sz w:val="23"/>
          <w:szCs w:val="23"/>
        </w:rPr>
        <w:t>R E S U L T A N D O</w:t>
      </w:r>
    </w:p>
    <w:p w:rsidR="00D16F90" w:rsidRPr="00505146" w:rsidRDefault="00D16F90" w:rsidP="00D16F90">
      <w:pPr>
        <w:spacing w:line="360" w:lineRule="auto"/>
        <w:ind w:firstLine="708"/>
        <w:jc w:val="both"/>
        <w:rPr>
          <w:rFonts w:ascii="Arial" w:eastAsia="Calibri" w:hAnsi="Arial" w:cs="Arial"/>
          <w:sz w:val="23"/>
          <w:szCs w:val="23"/>
        </w:rPr>
      </w:pPr>
      <w:r w:rsidRPr="00505146">
        <w:rPr>
          <w:rFonts w:ascii="Arial" w:eastAsia="Calibri" w:hAnsi="Arial" w:cs="Arial"/>
          <w:b/>
          <w:sz w:val="23"/>
          <w:szCs w:val="23"/>
        </w:rPr>
        <w:t xml:space="preserve">PRIMERO.- </w:t>
      </w:r>
      <w:r w:rsidRPr="00505146">
        <w:rPr>
          <w:rFonts w:ascii="Arial" w:eastAsia="Calibri" w:hAnsi="Arial" w:cs="Arial"/>
          <w:sz w:val="23"/>
          <w:szCs w:val="23"/>
        </w:rPr>
        <w:t xml:space="preserve">Con fecha </w:t>
      </w:r>
      <w:r>
        <w:rPr>
          <w:rFonts w:ascii="Arial" w:eastAsia="Calibri" w:hAnsi="Arial" w:cs="Arial"/>
          <w:sz w:val="23"/>
          <w:szCs w:val="23"/>
        </w:rPr>
        <w:t>veintisiete de enero de dos mil diecisiete</w:t>
      </w:r>
      <w:r w:rsidRPr="00505146">
        <w:rPr>
          <w:rFonts w:ascii="Arial" w:eastAsia="Calibri" w:hAnsi="Arial" w:cs="Arial"/>
          <w:sz w:val="23"/>
          <w:szCs w:val="23"/>
        </w:rPr>
        <w:t xml:space="preserve">, se recibió el escrito de demanda en la Oficialía de Partes del </w:t>
      </w:r>
      <w:r>
        <w:rPr>
          <w:rFonts w:ascii="Arial" w:eastAsia="Calibri" w:hAnsi="Arial" w:cs="Arial"/>
          <w:sz w:val="23"/>
          <w:szCs w:val="23"/>
        </w:rPr>
        <w:t xml:space="preserve">entonces Tribunal de lo Contencioso  Administrativo y de Cuentas </w:t>
      </w:r>
      <w:r w:rsidRPr="00505146">
        <w:rPr>
          <w:rFonts w:ascii="Arial" w:eastAsia="Calibri" w:hAnsi="Arial" w:cs="Arial"/>
          <w:sz w:val="23"/>
          <w:szCs w:val="23"/>
        </w:rPr>
        <w:t>del</w:t>
      </w:r>
      <w:r>
        <w:rPr>
          <w:rFonts w:ascii="Arial" w:eastAsia="Calibri" w:hAnsi="Arial" w:cs="Arial"/>
          <w:sz w:val="23"/>
          <w:szCs w:val="23"/>
        </w:rPr>
        <w:t xml:space="preserve"> Poder Judicial del Estado</w:t>
      </w:r>
      <w:r w:rsidRPr="00505146">
        <w:rPr>
          <w:rFonts w:ascii="Arial" w:eastAsia="Calibri" w:hAnsi="Arial" w:cs="Arial"/>
          <w:sz w:val="23"/>
          <w:szCs w:val="23"/>
        </w:rPr>
        <w:t xml:space="preserve">, por medio del cual </w:t>
      </w:r>
      <w:r>
        <w:rPr>
          <w:rFonts w:ascii="Arial" w:eastAsia="Calibri" w:hAnsi="Arial" w:cs="Arial"/>
          <w:sz w:val="23"/>
          <w:szCs w:val="23"/>
        </w:rPr>
        <w:t>el actor</w:t>
      </w:r>
      <w:r w:rsidRPr="00505146">
        <w:rPr>
          <w:rFonts w:ascii="Arial" w:eastAsia="Calibri" w:hAnsi="Arial" w:cs="Arial"/>
          <w:sz w:val="23"/>
          <w:szCs w:val="23"/>
        </w:rPr>
        <w:t xml:space="preserve"> </w:t>
      </w:r>
      <w:r>
        <w:rPr>
          <w:rFonts w:ascii="Arial" w:eastAsia="Calibri" w:hAnsi="Arial" w:cs="Arial"/>
          <w:sz w:val="23"/>
          <w:szCs w:val="23"/>
        </w:rPr>
        <w:t>**********</w:t>
      </w:r>
      <w:r w:rsidRPr="00505146">
        <w:rPr>
          <w:rFonts w:ascii="Arial" w:eastAsia="Calibri" w:hAnsi="Arial" w:cs="Arial"/>
          <w:sz w:val="23"/>
          <w:szCs w:val="23"/>
        </w:rPr>
        <w:t>, demanda la nulidad de la</w:t>
      </w:r>
      <w:r>
        <w:rPr>
          <w:rFonts w:ascii="Arial" w:eastAsia="Calibri" w:hAnsi="Arial" w:cs="Arial"/>
          <w:sz w:val="23"/>
          <w:szCs w:val="23"/>
        </w:rPr>
        <w:t>s</w:t>
      </w:r>
      <w:r w:rsidRPr="00505146">
        <w:rPr>
          <w:rFonts w:ascii="Arial" w:eastAsia="Calibri" w:hAnsi="Arial" w:cs="Arial"/>
          <w:sz w:val="23"/>
          <w:szCs w:val="23"/>
        </w:rPr>
        <w:t xml:space="preserve"> resolucion</w:t>
      </w:r>
      <w:r>
        <w:rPr>
          <w:rFonts w:ascii="Arial" w:eastAsia="Calibri" w:hAnsi="Arial" w:cs="Arial"/>
          <w:sz w:val="23"/>
          <w:szCs w:val="23"/>
        </w:rPr>
        <w:t>es</w:t>
      </w:r>
      <w:r w:rsidRPr="00505146">
        <w:rPr>
          <w:rFonts w:ascii="Arial" w:eastAsia="Calibri" w:hAnsi="Arial" w:cs="Arial"/>
          <w:sz w:val="23"/>
          <w:szCs w:val="23"/>
        </w:rPr>
        <w:t xml:space="preserve"> contenida</w:t>
      </w:r>
      <w:r>
        <w:rPr>
          <w:rFonts w:ascii="Arial" w:eastAsia="Calibri" w:hAnsi="Arial" w:cs="Arial"/>
          <w:sz w:val="23"/>
          <w:szCs w:val="23"/>
        </w:rPr>
        <w:t>s en los</w:t>
      </w:r>
      <w:r w:rsidRPr="00505146">
        <w:rPr>
          <w:rFonts w:ascii="Arial" w:eastAsia="Calibri" w:hAnsi="Arial" w:cs="Arial"/>
          <w:sz w:val="23"/>
          <w:szCs w:val="23"/>
        </w:rPr>
        <w:t xml:space="preserve"> oficio</w:t>
      </w:r>
      <w:r>
        <w:rPr>
          <w:rFonts w:ascii="Arial" w:eastAsia="Calibri" w:hAnsi="Arial" w:cs="Arial"/>
          <w:sz w:val="23"/>
          <w:szCs w:val="23"/>
        </w:rPr>
        <w:t>s</w:t>
      </w:r>
      <w:r w:rsidRPr="00505146">
        <w:rPr>
          <w:rFonts w:ascii="Arial" w:eastAsia="Calibri" w:hAnsi="Arial" w:cs="Arial"/>
          <w:sz w:val="23"/>
          <w:szCs w:val="23"/>
        </w:rPr>
        <w:t xml:space="preserve"> </w:t>
      </w:r>
      <w:r>
        <w:rPr>
          <w:rFonts w:ascii="Arial" w:eastAsia="Calibri" w:hAnsi="Arial" w:cs="Arial"/>
          <w:sz w:val="23"/>
          <w:szCs w:val="23"/>
        </w:rPr>
        <w:t xml:space="preserve">OP/DG/3009/2016, de fecha veintitrés de diciembre de dos mil dieciséis y OP/DG/1860/14, de fecha veintiséis de septiembre de dos mil catorce. </w:t>
      </w:r>
    </w:p>
    <w:p w:rsidR="00D16F90" w:rsidRDefault="00D16F90" w:rsidP="00D16F90">
      <w:pPr>
        <w:spacing w:line="360" w:lineRule="auto"/>
        <w:ind w:firstLine="708"/>
        <w:jc w:val="both"/>
        <w:rPr>
          <w:rFonts w:ascii="Arial" w:eastAsia="Calibri" w:hAnsi="Arial" w:cs="Arial"/>
          <w:sz w:val="23"/>
          <w:szCs w:val="23"/>
        </w:rPr>
      </w:pPr>
      <w:r w:rsidRPr="00505146">
        <w:rPr>
          <w:rFonts w:ascii="Arial" w:eastAsia="Calibri" w:hAnsi="Arial" w:cs="Arial"/>
          <w:b/>
          <w:sz w:val="23"/>
          <w:szCs w:val="23"/>
        </w:rPr>
        <w:t xml:space="preserve">SEGUNDO.- </w:t>
      </w:r>
      <w:r>
        <w:rPr>
          <w:rFonts w:ascii="Arial" w:eastAsia="Calibri" w:hAnsi="Arial" w:cs="Arial"/>
          <w:sz w:val="23"/>
          <w:szCs w:val="23"/>
        </w:rPr>
        <w:t>Mediante acuerdo de treinta de enero de dos mil diecisiete</w:t>
      </w:r>
      <w:r w:rsidRPr="00505146">
        <w:rPr>
          <w:rFonts w:ascii="Arial" w:eastAsia="Calibri" w:hAnsi="Arial" w:cs="Arial"/>
          <w:sz w:val="23"/>
          <w:szCs w:val="23"/>
        </w:rPr>
        <w:t>, se admitió a trámite la demanda</w:t>
      </w:r>
      <w:r>
        <w:rPr>
          <w:rFonts w:ascii="Arial" w:eastAsia="Calibri" w:hAnsi="Arial" w:cs="Arial"/>
          <w:sz w:val="23"/>
          <w:szCs w:val="23"/>
        </w:rPr>
        <w:t xml:space="preserve"> de nulidad del oficio OP/DG/3009/2016, de fecha </w:t>
      </w:r>
      <w:r w:rsidRPr="00164EC5">
        <w:rPr>
          <w:rFonts w:ascii="Arial" w:eastAsia="Calibri" w:hAnsi="Arial" w:cs="Arial"/>
          <w:sz w:val="23"/>
          <w:szCs w:val="23"/>
        </w:rPr>
        <w:t>veintitrés de diciembre de dos mil dieciséis</w:t>
      </w:r>
      <w:r>
        <w:rPr>
          <w:rFonts w:ascii="Arial" w:eastAsia="Calibri" w:hAnsi="Arial" w:cs="Arial"/>
          <w:sz w:val="23"/>
          <w:szCs w:val="23"/>
        </w:rPr>
        <w:t>, emitido por el</w:t>
      </w:r>
      <w:r w:rsidRPr="00505146">
        <w:rPr>
          <w:rFonts w:ascii="Arial" w:eastAsia="Calibri" w:hAnsi="Arial" w:cs="Arial"/>
          <w:sz w:val="23"/>
          <w:szCs w:val="23"/>
        </w:rPr>
        <w:t xml:space="preserve"> Director General de la Oficina de Pensiones del Estado, a quien se le concedió un plazo de n</w:t>
      </w:r>
      <w:r>
        <w:rPr>
          <w:rFonts w:ascii="Arial" w:eastAsia="Calibri" w:hAnsi="Arial" w:cs="Arial"/>
          <w:sz w:val="23"/>
          <w:szCs w:val="23"/>
        </w:rPr>
        <w:t>ueve hábiles para que produjera</w:t>
      </w:r>
      <w:r w:rsidRPr="00505146">
        <w:rPr>
          <w:rFonts w:ascii="Arial" w:eastAsia="Calibri" w:hAnsi="Arial" w:cs="Arial"/>
          <w:sz w:val="23"/>
          <w:szCs w:val="23"/>
        </w:rPr>
        <w:t xml:space="preserve"> su contestación, bajo apercibimiento que de no contestar los hechos planteados en la demanda, afirmándolos, negándolos o expresando los que ignoraran por no ser propios o exponiendo como ocurrieron, se considerarían presuntamente ciertos, y en caso de que no conteste la demanda, se tendría contestada en sentido afirmativo,</w:t>
      </w:r>
      <w:r>
        <w:rPr>
          <w:rFonts w:ascii="Arial" w:eastAsia="Calibri" w:hAnsi="Arial" w:cs="Arial"/>
          <w:sz w:val="23"/>
          <w:szCs w:val="23"/>
        </w:rPr>
        <w:t xml:space="preserve"> y en cuanto al oficio </w:t>
      </w:r>
      <w:r w:rsidRPr="00164EC5">
        <w:rPr>
          <w:rFonts w:ascii="Arial" w:eastAsia="Calibri" w:hAnsi="Arial" w:cs="Arial"/>
          <w:sz w:val="23"/>
          <w:szCs w:val="23"/>
        </w:rPr>
        <w:t>OP/DG/1860/2014, de fecha veintiséis de septiembre de dos mil catorce, se desechó la demanda respecto</w:t>
      </w:r>
      <w:r>
        <w:rPr>
          <w:rFonts w:ascii="Arial" w:eastAsia="Calibri" w:hAnsi="Arial" w:cs="Arial"/>
          <w:sz w:val="23"/>
          <w:szCs w:val="23"/>
        </w:rPr>
        <w:t xml:space="preserve"> a ese acto; y</w:t>
      </w:r>
      <w:r w:rsidRPr="00505146">
        <w:rPr>
          <w:rFonts w:ascii="Arial" w:eastAsia="Calibri" w:hAnsi="Arial" w:cs="Arial"/>
          <w:sz w:val="23"/>
          <w:szCs w:val="23"/>
        </w:rPr>
        <w:t xml:space="preserve"> se ad</w:t>
      </w:r>
      <w:r>
        <w:rPr>
          <w:rFonts w:ascii="Arial" w:eastAsia="Calibri" w:hAnsi="Arial" w:cs="Arial"/>
          <w:sz w:val="23"/>
          <w:szCs w:val="23"/>
        </w:rPr>
        <w:t>mitieron las pruebas ofrecidas</w:t>
      </w:r>
      <w:r w:rsidRPr="00505146">
        <w:rPr>
          <w:rFonts w:ascii="Arial" w:eastAsia="Calibri" w:hAnsi="Arial" w:cs="Arial"/>
          <w:sz w:val="23"/>
          <w:szCs w:val="23"/>
        </w:rPr>
        <w:t xml:space="preserve"> por el actor. </w:t>
      </w:r>
    </w:p>
    <w:p w:rsidR="00D16F90" w:rsidRDefault="00D16F90" w:rsidP="00D16F90">
      <w:pPr>
        <w:spacing w:line="360" w:lineRule="auto"/>
        <w:ind w:firstLine="708"/>
        <w:jc w:val="both"/>
        <w:rPr>
          <w:rFonts w:ascii="Arial" w:eastAsia="Calibri" w:hAnsi="Arial" w:cs="Arial"/>
          <w:sz w:val="23"/>
          <w:szCs w:val="23"/>
        </w:rPr>
      </w:pPr>
    </w:p>
    <w:p w:rsidR="00D16F90" w:rsidRDefault="00D16F90" w:rsidP="00D16F90">
      <w:pPr>
        <w:spacing w:line="360" w:lineRule="auto"/>
        <w:ind w:firstLine="708"/>
        <w:jc w:val="both"/>
        <w:rPr>
          <w:rFonts w:ascii="Arial" w:eastAsia="Calibri" w:hAnsi="Arial" w:cs="Arial"/>
          <w:sz w:val="23"/>
          <w:szCs w:val="23"/>
        </w:rPr>
      </w:pPr>
      <w:r w:rsidRPr="009C10B0">
        <w:rPr>
          <w:rFonts w:ascii="Arial" w:eastAsia="Calibri" w:hAnsi="Arial" w:cs="Arial"/>
          <w:b/>
          <w:sz w:val="23"/>
          <w:szCs w:val="23"/>
        </w:rPr>
        <w:t xml:space="preserve">TERCERO.- </w:t>
      </w:r>
      <w:r>
        <w:rPr>
          <w:rFonts w:ascii="Arial" w:eastAsia="Calibri" w:hAnsi="Arial" w:cs="Arial"/>
          <w:sz w:val="23"/>
          <w:szCs w:val="23"/>
        </w:rPr>
        <w:t xml:space="preserve">En acuerdo de veintiséis de abril de dos mil diecisiete, </w:t>
      </w:r>
      <w:r w:rsidRPr="00505146">
        <w:rPr>
          <w:rFonts w:ascii="Arial" w:eastAsia="Calibri" w:hAnsi="Arial" w:cs="Arial"/>
          <w:sz w:val="23"/>
          <w:szCs w:val="23"/>
        </w:rPr>
        <w:t>se tuvo al Director General</w:t>
      </w:r>
      <w:r>
        <w:rPr>
          <w:rFonts w:ascii="Arial" w:eastAsia="Calibri" w:hAnsi="Arial" w:cs="Arial"/>
          <w:sz w:val="23"/>
          <w:szCs w:val="23"/>
        </w:rPr>
        <w:t xml:space="preserve"> de la Oficina de</w:t>
      </w:r>
      <w:r w:rsidRPr="00505146">
        <w:rPr>
          <w:rFonts w:ascii="Arial" w:eastAsia="Calibri" w:hAnsi="Arial" w:cs="Arial"/>
          <w:sz w:val="23"/>
          <w:szCs w:val="23"/>
        </w:rPr>
        <w:t xml:space="preserve"> Pensiones del Estado</w:t>
      </w:r>
      <w:r>
        <w:rPr>
          <w:rFonts w:ascii="Arial" w:eastAsia="Calibri" w:hAnsi="Arial" w:cs="Arial"/>
          <w:sz w:val="23"/>
          <w:szCs w:val="23"/>
        </w:rPr>
        <w:t>,</w:t>
      </w:r>
      <w:r w:rsidRPr="000C09BE">
        <w:rPr>
          <w:rFonts w:ascii="Arial" w:eastAsia="Calibri" w:hAnsi="Arial" w:cs="Arial"/>
          <w:sz w:val="23"/>
          <w:szCs w:val="23"/>
        </w:rPr>
        <w:t xml:space="preserve"> </w:t>
      </w:r>
      <w:r w:rsidRPr="00505146">
        <w:rPr>
          <w:rFonts w:ascii="Arial" w:eastAsia="Calibri" w:hAnsi="Arial" w:cs="Arial"/>
          <w:sz w:val="23"/>
          <w:szCs w:val="23"/>
        </w:rPr>
        <w:t xml:space="preserve">contestando en tiempo la demanda y por admitidas las pruebas que ofreció; </w:t>
      </w:r>
      <w:r>
        <w:rPr>
          <w:rFonts w:ascii="Arial" w:eastAsia="Calibri" w:hAnsi="Arial" w:cs="Arial"/>
          <w:sz w:val="23"/>
          <w:szCs w:val="23"/>
        </w:rPr>
        <w:t xml:space="preserve">por otra parte se tuvo al actor interponiendo el recurso de revisión en contra del acuerdo de treinta de enero de dos mil diecisiete, por lo que se ordenó formarse el cuaderno por separado y una vez integrado remitirse a la Sala Superior de este Tribunal para su resolución.    </w:t>
      </w:r>
    </w:p>
    <w:p w:rsidR="00D16F90" w:rsidRDefault="00D16F90" w:rsidP="00D16F90">
      <w:pPr>
        <w:spacing w:line="360" w:lineRule="auto"/>
        <w:ind w:firstLine="708"/>
        <w:jc w:val="both"/>
        <w:rPr>
          <w:rFonts w:ascii="Arial" w:eastAsia="Calibri" w:hAnsi="Arial" w:cs="Arial"/>
          <w:b/>
          <w:sz w:val="23"/>
          <w:szCs w:val="23"/>
        </w:rPr>
      </w:pPr>
      <w:r w:rsidRPr="00505146">
        <w:rPr>
          <w:rFonts w:ascii="Arial" w:eastAsia="Calibri" w:hAnsi="Arial" w:cs="Arial"/>
          <w:sz w:val="23"/>
          <w:szCs w:val="23"/>
        </w:rPr>
        <w:t xml:space="preserve"> </w:t>
      </w:r>
    </w:p>
    <w:p w:rsidR="00D16F90" w:rsidRDefault="00D16F90" w:rsidP="00D16F90">
      <w:pPr>
        <w:spacing w:line="360" w:lineRule="auto"/>
        <w:ind w:firstLine="708"/>
        <w:jc w:val="both"/>
        <w:rPr>
          <w:rFonts w:ascii="Arial" w:eastAsia="Calibri" w:hAnsi="Arial" w:cs="Arial"/>
          <w:sz w:val="23"/>
          <w:szCs w:val="23"/>
        </w:rPr>
      </w:pPr>
      <w:r>
        <w:rPr>
          <w:rFonts w:ascii="Arial" w:eastAsia="Calibri" w:hAnsi="Arial" w:cs="Arial"/>
          <w:b/>
          <w:sz w:val="23"/>
          <w:szCs w:val="23"/>
        </w:rPr>
        <w:t xml:space="preserve">CUARTO.- </w:t>
      </w:r>
      <w:r>
        <w:rPr>
          <w:rFonts w:ascii="Arial" w:eastAsia="Calibri" w:hAnsi="Arial" w:cs="Arial"/>
          <w:sz w:val="23"/>
          <w:szCs w:val="23"/>
        </w:rPr>
        <w:t xml:space="preserve">Por oficio TCAC/017/2018, de fecha cinco de enero de dos mil diecisiete, suscrito por la Secretaria General de Acuerdos de este Tribunal, remitió copias certificadas de  la resolución del Recurso de Revisión 331/2017, de fecha doce de octubre de dos mil diecisiete, dictada por </w:t>
      </w:r>
      <w:r w:rsidRPr="00DC22FE">
        <w:rPr>
          <w:rFonts w:ascii="Arial" w:eastAsia="Calibri" w:hAnsi="Arial" w:cs="Arial"/>
          <w:sz w:val="23"/>
          <w:szCs w:val="23"/>
        </w:rPr>
        <w:t>Sala</w:t>
      </w:r>
      <w:r>
        <w:rPr>
          <w:rFonts w:ascii="Arial" w:eastAsia="Calibri" w:hAnsi="Arial" w:cs="Arial"/>
          <w:sz w:val="23"/>
          <w:szCs w:val="23"/>
        </w:rPr>
        <w:t xml:space="preserve"> Superior en la cual modifico</w:t>
      </w:r>
      <w:r w:rsidRPr="00DC22FE">
        <w:rPr>
          <w:rFonts w:ascii="Arial" w:eastAsia="Calibri" w:hAnsi="Arial" w:cs="Arial"/>
          <w:sz w:val="23"/>
          <w:szCs w:val="23"/>
        </w:rPr>
        <w:t xml:space="preserve"> el </w:t>
      </w:r>
      <w:r w:rsidRPr="00DC22FE">
        <w:rPr>
          <w:rFonts w:ascii="Arial" w:eastAsia="Calibri" w:hAnsi="Arial" w:cs="Arial"/>
          <w:sz w:val="23"/>
          <w:szCs w:val="23"/>
        </w:rPr>
        <w:lastRenderedPageBreak/>
        <w:t>acuerdo de treinta de enero de dos mil diecisiete,</w:t>
      </w:r>
      <w:r>
        <w:rPr>
          <w:rFonts w:ascii="Arial" w:eastAsia="Calibri" w:hAnsi="Arial" w:cs="Arial"/>
          <w:sz w:val="23"/>
          <w:szCs w:val="23"/>
        </w:rPr>
        <w:t xml:space="preserve"> admitiéndose a trámite la demanda de nulidad del oficio OP/DG/1860/2014, de fecha veintiséis de septiembre de dos mil catorce, por lo que se notificó, corrió traslado y emplazo a juicio al Consejo Directivo de Pensiones del Gobierno del Estado y al Director General de la Oficina de Pensiones del Gobierno del Estado.   </w:t>
      </w:r>
    </w:p>
    <w:p w:rsidR="00D16F90" w:rsidRPr="00505146" w:rsidRDefault="00D16F90" w:rsidP="00D16F90">
      <w:pPr>
        <w:spacing w:line="360" w:lineRule="auto"/>
        <w:ind w:firstLine="708"/>
        <w:jc w:val="both"/>
        <w:rPr>
          <w:rFonts w:ascii="Arial" w:eastAsia="Calibri" w:hAnsi="Arial" w:cs="Arial"/>
          <w:b/>
          <w:sz w:val="23"/>
          <w:szCs w:val="23"/>
        </w:rPr>
      </w:pPr>
    </w:p>
    <w:p w:rsidR="00D16F90" w:rsidRDefault="00D16F90" w:rsidP="00D16F90">
      <w:pPr>
        <w:spacing w:line="360" w:lineRule="auto"/>
        <w:ind w:firstLine="708"/>
        <w:jc w:val="both"/>
        <w:rPr>
          <w:rFonts w:ascii="Arial" w:hAnsi="Arial" w:cs="Arial"/>
          <w:sz w:val="24"/>
          <w:szCs w:val="24"/>
        </w:rPr>
      </w:pPr>
      <w:r>
        <w:rPr>
          <w:rFonts w:ascii="Arial" w:eastAsia="Calibri" w:hAnsi="Arial" w:cs="Arial"/>
          <w:b/>
          <w:sz w:val="23"/>
          <w:szCs w:val="23"/>
        </w:rPr>
        <w:t>QUINTO.-</w:t>
      </w:r>
      <w:r w:rsidRPr="00505146">
        <w:rPr>
          <w:rFonts w:ascii="Arial" w:eastAsia="Calibri" w:hAnsi="Arial" w:cs="Arial"/>
          <w:b/>
          <w:sz w:val="23"/>
          <w:szCs w:val="23"/>
        </w:rPr>
        <w:t xml:space="preserve"> </w:t>
      </w:r>
      <w:r w:rsidRPr="00DC22FE">
        <w:rPr>
          <w:rFonts w:ascii="Arial" w:hAnsi="Arial" w:cs="Arial"/>
          <w:sz w:val="23"/>
          <w:szCs w:val="23"/>
        </w:rPr>
        <w:t>Por acuerdo de dos de marzo de dos mil dieciocho, se hizo del conocimiento de las partes que conforme al Decreto 789</w:t>
      </w:r>
      <w:r>
        <w:rPr>
          <w:rFonts w:ascii="Arial" w:hAnsi="Arial" w:cs="Arial"/>
          <w:sz w:val="23"/>
          <w:szCs w:val="23"/>
        </w:rPr>
        <w:t>,</w:t>
      </w:r>
      <w:r w:rsidRPr="00DC22FE">
        <w:rPr>
          <w:rFonts w:ascii="Arial" w:hAnsi="Arial" w:cs="Arial"/>
          <w:sz w:val="23"/>
          <w:szCs w:val="23"/>
        </w:rPr>
        <w:t xml:space="preserve"> de la LXIII Legislatura Constitucional del Estado Libre y Soberano de Oaxaca, publicado en el Extra Periódico Oficial, el dieciséis de enero de dos mil dieciocho, relativo a la creación del Tribunal de Justicia Administrativa del Estado de Oaxaca; así como por el acuerdo 02/2018 de la Sala Superior del</w:t>
      </w:r>
      <w:r>
        <w:rPr>
          <w:rFonts w:ascii="Arial" w:hAnsi="Arial" w:cs="Arial"/>
          <w:sz w:val="23"/>
          <w:szCs w:val="23"/>
        </w:rPr>
        <w:t xml:space="preserve"> entonces</w:t>
      </w:r>
      <w:r w:rsidRPr="00DC22FE">
        <w:rPr>
          <w:rFonts w:ascii="Arial" w:hAnsi="Arial" w:cs="Arial"/>
          <w:sz w:val="23"/>
          <w:szCs w:val="23"/>
        </w:rPr>
        <w:t xml:space="preserve"> Tribunal Contencioso Administrativo  y de Cuentas del Estado de Oaxaca, de treinta d</w:t>
      </w:r>
      <w:r>
        <w:rPr>
          <w:rFonts w:ascii="Arial" w:hAnsi="Arial" w:cs="Arial"/>
          <w:sz w:val="23"/>
          <w:szCs w:val="23"/>
        </w:rPr>
        <w:t>e enero de dos mil dieciocho, que</w:t>
      </w:r>
      <w:r w:rsidRPr="00DC22FE">
        <w:rPr>
          <w:rFonts w:ascii="Arial" w:hAnsi="Arial" w:cs="Arial"/>
          <w:sz w:val="23"/>
          <w:szCs w:val="23"/>
        </w:rPr>
        <w:t xml:space="preserve"> declaró el cierre de actividades del citado tribunal, la suspensión de plazos y términos</w:t>
      </w:r>
      <w:r>
        <w:rPr>
          <w:rFonts w:ascii="Arial" w:hAnsi="Arial" w:cs="Arial"/>
          <w:sz w:val="23"/>
          <w:szCs w:val="23"/>
        </w:rPr>
        <w:t>; y por medio del Acuerdo G</w:t>
      </w:r>
      <w:r w:rsidRPr="00DC22FE">
        <w:rPr>
          <w:rFonts w:ascii="Arial" w:hAnsi="Arial" w:cs="Arial"/>
          <w:sz w:val="23"/>
          <w:szCs w:val="23"/>
        </w:rPr>
        <w:t>eneral AG/TJAO/01/2018, del Pleno de la Sala Superior del Tribunal de Justicia Administrativa del Estado de Oaxaca, se declaró el inicio de actividades del referido órgano; concediéndole a las partes el término de tres días hábiles para que manifestaran a lo que a su derecho conviniera</w:t>
      </w:r>
      <w:r>
        <w:rPr>
          <w:rFonts w:ascii="Arial" w:hAnsi="Arial" w:cs="Arial"/>
          <w:sz w:val="24"/>
          <w:szCs w:val="24"/>
        </w:rPr>
        <w:t>.</w:t>
      </w:r>
    </w:p>
    <w:p w:rsidR="00D16F90" w:rsidRPr="00B017B2" w:rsidRDefault="00D16F90" w:rsidP="00D16F90">
      <w:pPr>
        <w:spacing w:line="360" w:lineRule="auto"/>
        <w:ind w:firstLine="708"/>
        <w:jc w:val="both"/>
        <w:rPr>
          <w:rFonts w:ascii="Arial" w:hAnsi="Arial" w:cs="Arial"/>
          <w:sz w:val="24"/>
          <w:szCs w:val="24"/>
        </w:rPr>
      </w:pPr>
    </w:p>
    <w:p w:rsidR="00D16F90" w:rsidRDefault="00D16F90" w:rsidP="00D16F90">
      <w:pPr>
        <w:spacing w:line="360" w:lineRule="auto"/>
        <w:ind w:firstLine="708"/>
        <w:jc w:val="both"/>
        <w:rPr>
          <w:rFonts w:ascii="Arial" w:eastAsia="Calibri" w:hAnsi="Arial" w:cs="Arial"/>
          <w:sz w:val="23"/>
          <w:szCs w:val="23"/>
        </w:rPr>
      </w:pPr>
      <w:r>
        <w:rPr>
          <w:rFonts w:ascii="Arial" w:eastAsia="Calibri" w:hAnsi="Arial" w:cs="Arial"/>
          <w:b/>
          <w:sz w:val="23"/>
          <w:szCs w:val="23"/>
        </w:rPr>
        <w:t>SEXTO</w:t>
      </w:r>
      <w:r w:rsidRPr="00B017B2">
        <w:rPr>
          <w:rFonts w:ascii="Arial" w:eastAsia="Calibri" w:hAnsi="Arial" w:cs="Arial"/>
          <w:b/>
          <w:sz w:val="23"/>
          <w:szCs w:val="23"/>
        </w:rPr>
        <w:t>.-</w:t>
      </w:r>
      <w:r>
        <w:rPr>
          <w:rFonts w:ascii="Arial" w:eastAsia="Calibri" w:hAnsi="Arial" w:cs="Arial"/>
          <w:sz w:val="23"/>
          <w:szCs w:val="23"/>
        </w:rPr>
        <w:t xml:space="preserve"> En acuerdo de veintitrés de mayo de dos mil dieciocho, </w:t>
      </w:r>
      <w:r w:rsidRPr="00505146">
        <w:rPr>
          <w:rFonts w:ascii="Arial" w:eastAsia="Calibri" w:hAnsi="Arial" w:cs="Arial"/>
          <w:sz w:val="23"/>
          <w:szCs w:val="23"/>
        </w:rPr>
        <w:t>se tuvo al Director General de la Oficina del Pensiones del Estado</w:t>
      </w:r>
      <w:r>
        <w:rPr>
          <w:rFonts w:ascii="Arial" w:eastAsia="Calibri" w:hAnsi="Arial" w:cs="Arial"/>
          <w:sz w:val="23"/>
          <w:szCs w:val="23"/>
        </w:rPr>
        <w:t xml:space="preserve"> y Apoderado Legal del Consejo Directivo de la Oficina de Pensiones del Estado</w:t>
      </w:r>
      <w:r w:rsidRPr="00505146">
        <w:rPr>
          <w:rFonts w:ascii="Arial" w:eastAsia="Calibri" w:hAnsi="Arial" w:cs="Arial"/>
          <w:sz w:val="23"/>
          <w:szCs w:val="23"/>
        </w:rPr>
        <w:t>, contestando en tiempo la demanda y por ad</w:t>
      </w:r>
      <w:r>
        <w:rPr>
          <w:rFonts w:ascii="Arial" w:eastAsia="Calibri" w:hAnsi="Arial" w:cs="Arial"/>
          <w:sz w:val="23"/>
          <w:szCs w:val="23"/>
        </w:rPr>
        <w:t>mitidas las pruebas que ofreció.</w:t>
      </w:r>
      <w:r w:rsidRPr="00505146">
        <w:rPr>
          <w:rFonts w:ascii="Arial" w:eastAsia="Calibri" w:hAnsi="Arial" w:cs="Arial"/>
          <w:sz w:val="23"/>
          <w:szCs w:val="23"/>
        </w:rPr>
        <w:t xml:space="preserve"> </w:t>
      </w:r>
    </w:p>
    <w:p w:rsidR="00D16F90" w:rsidRDefault="00D16F90" w:rsidP="00D16F90">
      <w:pPr>
        <w:spacing w:line="360" w:lineRule="auto"/>
        <w:ind w:firstLine="708"/>
        <w:jc w:val="both"/>
        <w:rPr>
          <w:rFonts w:ascii="Arial" w:eastAsia="Calibri" w:hAnsi="Arial" w:cs="Arial"/>
          <w:sz w:val="23"/>
          <w:szCs w:val="23"/>
        </w:rPr>
      </w:pPr>
    </w:p>
    <w:p w:rsidR="00D16F90" w:rsidRDefault="00D16F90" w:rsidP="00D16F90">
      <w:pPr>
        <w:spacing w:line="360" w:lineRule="auto"/>
        <w:ind w:firstLine="708"/>
        <w:jc w:val="both"/>
        <w:rPr>
          <w:rFonts w:ascii="Arial" w:eastAsia="Calibri" w:hAnsi="Arial" w:cs="Arial"/>
          <w:sz w:val="23"/>
          <w:szCs w:val="23"/>
        </w:rPr>
      </w:pPr>
      <w:r w:rsidRPr="00FE1923">
        <w:rPr>
          <w:rFonts w:ascii="Arial" w:eastAsia="Calibri" w:hAnsi="Arial" w:cs="Arial"/>
          <w:b/>
          <w:sz w:val="23"/>
          <w:szCs w:val="23"/>
        </w:rPr>
        <w:t>SÉPTIMO.-</w:t>
      </w:r>
      <w:r>
        <w:rPr>
          <w:rFonts w:ascii="Arial" w:eastAsia="Calibri" w:hAnsi="Arial" w:cs="Arial"/>
          <w:sz w:val="23"/>
          <w:szCs w:val="23"/>
        </w:rPr>
        <w:t xml:space="preserve"> Por auto de fecha veintinueve de junio de dos mil dieciocho, se señalaron las once horas del veintiocho de agosto de dos mil dieciocho, para la celebración de la audiencia de ley.</w:t>
      </w:r>
    </w:p>
    <w:p w:rsidR="00D16F90" w:rsidRDefault="00D16F90" w:rsidP="00D16F90">
      <w:pPr>
        <w:spacing w:line="360" w:lineRule="auto"/>
        <w:ind w:firstLine="708"/>
        <w:jc w:val="both"/>
        <w:rPr>
          <w:rFonts w:ascii="Arial" w:eastAsia="Calibri" w:hAnsi="Arial" w:cs="Arial"/>
          <w:sz w:val="23"/>
          <w:szCs w:val="23"/>
        </w:rPr>
      </w:pPr>
    </w:p>
    <w:p w:rsidR="00D16F90" w:rsidRDefault="00D16F90" w:rsidP="00D16F90">
      <w:pPr>
        <w:spacing w:line="360" w:lineRule="auto"/>
        <w:ind w:firstLine="708"/>
        <w:jc w:val="both"/>
        <w:rPr>
          <w:rFonts w:ascii="Arial" w:eastAsia="Calibri" w:hAnsi="Arial" w:cs="Arial"/>
          <w:sz w:val="23"/>
          <w:szCs w:val="23"/>
        </w:rPr>
      </w:pPr>
      <w:r>
        <w:rPr>
          <w:rFonts w:ascii="Arial" w:eastAsia="Calibri" w:hAnsi="Arial" w:cs="Arial"/>
          <w:b/>
          <w:sz w:val="23"/>
          <w:szCs w:val="23"/>
        </w:rPr>
        <w:t xml:space="preserve">OCTAVO.- </w:t>
      </w:r>
      <w:r w:rsidRPr="005E68CB">
        <w:rPr>
          <w:rFonts w:ascii="Arial" w:eastAsia="Calibri" w:hAnsi="Arial" w:cs="Arial"/>
          <w:sz w:val="23"/>
          <w:szCs w:val="23"/>
        </w:rPr>
        <w:t>Con</w:t>
      </w:r>
      <w:r>
        <w:rPr>
          <w:rFonts w:ascii="Arial" w:eastAsia="Calibri" w:hAnsi="Arial" w:cs="Arial"/>
          <w:sz w:val="23"/>
          <w:szCs w:val="23"/>
        </w:rPr>
        <w:t xml:space="preserve"> fecha veintiocho de agosto de dos mil dieciocho, </w:t>
      </w:r>
      <w:r w:rsidRPr="00505146">
        <w:rPr>
          <w:rFonts w:ascii="Arial" w:eastAsia="Calibri" w:hAnsi="Arial" w:cs="Arial"/>
          <w:sz w:val="23"/>
          <w:szCs w:val="23"/>
        </w:rPr>
        <w:t>se llevó a cabo la audiencia final, sin que comparecieran las partes; en donde se desahogaron las prueb</w:t>
      </w:r>
      <w:r>
        <w:rPr>
          <w:rFonts w:ascii="Arial" w:eastAsia="Calibri" w:hAnsi="Arial" w:cs="Arial"/>
          <w:sz w:val="23"/>
          <w:szCs w:val="23"/>
        </w:rPr>
        <w:t>as ofrecidas por parte del actor, **********</w:t>
      </w:r>
      <w:r w:rsidRPr="00505146">
        <w:rPr>
          <w:rFonts w:ascii="Arial" w:eastAsia="Calibri" w:hAnsi="Arial" w:cs="Arial"/>
          <w:sz w:val="23"/>
          <w:szCs w:val="23"/>
        </w:rPr>
        <w:t xml:space="preserve">, consistentes en: </w:t>
      </w:r>
      <w:r w:rsidRPr="00505146">
        <w:rPr>
          <w:rFonts w:ascii="Arial" w:eastAsia="Calibri" w:hAnsi="Arial" w:cs="Arial"/>
          <w:b/>
          <w:sz w:val="23"/>
          <w:szCs w:val="23"/>
        </w:rPr>
        <w:t>1.-</w:t>
      </w:r>
      <w:r>
        <w:rPr>
          <w:rFonts w:ascii="Arial" w:eastAsia="Calibri" w:hAnsi="Arial" w:cs="Arial"/>
          <w:sz w:val="23"/>
          <w:szCs w:val="23"/>
        </w:rPr>
        <w:t xml:space="preserve"> Documental Pública, consistente en  el oficio OP/DG/1860/14, de fecha veintiséis de septiembre de dos mil catorce</w:t>
      </w:r>
      <w:r w:rsidRPr="00505146">
        <w:rPr>
          <w:rFonts w:ascii="Arial" w:eastAsia="Calibri" w:hAnsi="Arial" w:cs="Arial"/>
          <w:sz w:val="23"/>
          <w:szCs w:val="23"/>
        </w:rPr>
        <w:t xml:space="preserve">, </w:t>
      </w:r>
      <w:r>
        <w:rPr>
          <w:rFonts w:ascii="Arial" w:eastAsia="Calibri" w:hAnsi="Arial" w:cs="Arial"/>
          <w:sz w:val="23"/>
          <w:szCs w:val="23"/>
        </w:rPr>
        <w:t xml:space="preserve">y Oficio OP/DG/3009/2016, de fecha veintitrés de diciembre de dos mil dieciséis, emitidos por el Director General de la Oficina de Pensiones del Gobierno del Estado </w:t>
      </w:r>
      <w:r w:rsidRPr="00505146">
        <w:rPr>
          <w:rFonts w:ascii="Arial" w:eastAsia="Calibri" w:hAnsi="Arial" w:cs="Arial"/>
          <w:b/>
          <w:sz w:val="23"/>
          <w:szCs w:val="23"/>
        </w:rPr>
        <w:t>(acto</w:t>
      </w:r>
      <w:r>
        <w:rPr>
          <w:rFonts w:ascii="Arial" w:eastAsia="Calibri" w:hAnsi="Arial" w:cs="Arial"/>
          <w:b/>
          <w:sz w:val="23"/>
          <w:szCs w:val="23"/>
        </w:rPr>
        <w:t>s</w:t>
      </w:r>
      <w:r w:rsidRPr="00505146">
        <w:rPr>
          <w:rFonts w:ascii="Arial" w:eastAsia="Calibri" w:hAnsi="Arial" w:cs="Arial"/>
          <w:b/>
          <w:sz w:val="23"/>
          <w:szCs w:val="23"/>
        </w:rPr>
        <w:t xml:space="preserve"> impugnado</w:t>
      </w:r>
      <w:r>
        <w:rPr>
          <w:rFonts w:ascii="Arial" w:eastAsia="Calibri" w:hAnsi="Arial" w:cs="Arial"/>
          <w:b/>
          <w:sz w:val="23"/>
          <w:szCs w:val="23"/>
        </w:rPr>
        <w:t>s</w:t>
      </w:r>
      <w:r w:rsidRPr="00505146">
        <w:rPr>
          <w:rFonts w:ascii="Arial" w:eastAsia="Calibri" w:hAnsi="Arial" w:cs="Arial"/>
          <w:sz w:val="23"/>
          <w:szCs w:val="23"/>
        </w:rPr>
        <w:t>);</w:t>
      </w:r>
      <w:r>
        <w:rPr>
          <w:rFonts w:ascii="Arial" w:eastAsia="Calibri" w:hAnsi="Arial" w:cs="Arial"/>
          <w:sz w:val="23"/>
          <w:szCs w:val="23"/>
        </w:rPr>
        <w:t xml:space="preserve"> </w:t>
      </w:r>
      <w:r w:rsidRPr="00505146">
        <w:rPr>
          <w:rFonts w:ascii="Arial" w:eastAsia="Calibri" w:hAnsi="Arial" w:cs="Arial"/>
          <w:b/>
          <w:sz w:val="23"/>
          <w:szCs w:val="23"/>
        </w:rPr>
        <w:t>2.-</w:t>
      </w:r>
      <w:r>
        <w:rPr>
          <w:rFonts w:ascii="Arial" w:eastAsia="Calibri" w:hAnsi="Arial" w:cs="Arial"/>
          <w:b/>
          <w:sz w:val="23"/>
          <w:szCs w:val="23"/>
        </w:rPr>
        <w:t xml:space="preserve"> </w:t>
      </w:r>
      <w:r w:rsidRPr="00505146">
        <w:rPr>
          <w:rFonts w:ascii="Arial" w:eastAsia="Calibri" w:hAnsi="Arial" w:cs="Arial"/>
          <w:sz w:val="23"/>
          <w:szCs w:val="23"/>
        </w:rPr>
        <w:t>Instrumental de Actuaciones</w:t>
      </w:r>
      <w:r>
        <w:rPr>
          <w:rFonts w:ascii="Arial" w:eastAsia="Calibri" w:hAnsi="Arial" w:cs="Arial"/>
          <w:sz w:val="23"/>
          <w:szCs w:val="23"/>
        </w:rPr>
        <w:t xml:space="preserve">; </w:t>
      </w:r>
      <w:r w:rsidRPr="00505146">
        <w:rPr>
          <w:rFonts w:ascii="Arial" w:eastAsia="Calibri" w:hAnsi="Arial" w:cs="Arial"/>
          <w:sz w:val="23"/>
          <w:szCs w:val="23"/>
        </w:rPr>
        <w:t>y</w:t>
      </w:r>
      <w:r>
        <w:rPr>
          <w:rFonts w:ascii="Arial" w:eastAsia="Calibri" w:hAnsi="Arial" w:cs="Arial"/>
          <w:sz w:val="23"/>
          <w:szCs w:val="23"/>
        </w:rPr>
        <w:t>,</w:t>
      </w:r>
      <w:r w:rsidRPr="00505146">
        <w:rPr>
          <w:rFonts w:ascii="Arial" w:eastAsia="Calibri" w:hAnsi="Arial" w:cs="Arial"/>
          <w:sz w:val="23"/>
          <w:szCs w:val="23"/>
        </w:rPr>
        <w:t xml:space="preserve"> </w:t>
      </w:r>
      <w:r w:rsidRPr="00505146">
        <w:rPr>
          <w:rFonts w:ascii="Arial" w:eastAsia="Calibri" w:hAnsi="Arial" w:cs="Arial"/>
          <w:b/>
          <w:sz w:val="23"/>
          <w:szCs w:val="23"/>
        </w:rPr>
        <w:t>3.-</w:t>
      </w:r>
      <w:r w:rsidRPr="008120E7">
        <w:rPr>
          <w:rFonts w:ascii="Arial" w:eastAsia="Calibri" w:hAnsi="Arial" w:cs="Arial"/>
          <w:sz w:val="23"/>
          <w:szCs w:val="23"/>
        </w:rPr>
        <w:t xml:space="preserve"> </w:t>
      </w:r>
      <w:r w:rsidRPr="00505146">
        <w:rPr>
          <w:rFonts w:ascii="Arial" w:eastAsia="Calibri" w:hAnsi="Arial" w:cs="Arial"/>
          <w:sz w:val="23"/>
          <w:szCs w:val="23"/>
        </w:rPr>
        <w:t xml:space="preserve">Presunción Legal y Humana. </w:t>
      </w:r>
    </w:p>
    <w:p w:rsidR="00D16F90" w:rsidRPr="00505146" w:rsidRDefault="00D16F90" w:rsidP="00D16F90">
      <w:pPr>
        <w:spacing w:line="360" w:lineRule="auto"/>
        <w:ind w:firstLine="708"/>
        <w:jc w:val="both"/>
        <w:rPr>
          <w:rFonts w:ascii="Arial" w:eastAsia="Calibri" w:hAnsi="Arial" w:cs="Arial"/>
          <w:sz w:val="23"/>
          <w:szCs w:val="23"/>
        </w:rPr>
      </w:pPr>
    </w:p>
    <w:p w:rsidR="00D16F90" w:rsidRDefault="00D16F90" w:rsidP="00D16F90">
      <w:pPr>
        <w:spacing w:line="360" w:lineRule="auto"/>
        <w:ind w:firstLine="708"/>
        <w:jc w:val="both"/>
        <w:rPr>
          <w:rFonts w:ascii="Arial" w:eastAsia="Calibri" w:hAnsi="Arial" w:cs="Arial"/>
          <w:sz w:val="23"/>
          <w:szCs w:val="23"/>
        </w:rPr>
      </w:pPr>
      <w:r w:rsidRPr="00505146">
        <w:rPr>
          <w:rFonts w:ascii="Arial" w:eastAsia="Calibri" w:hAnsi="Arial" w:cs="Arial"/>
          <w:sz w:val="23"/>
          <w:szCs w:val="23"/>
        </w:rPr>
        <w:t xml:space="preserve">En relación a la autoridad demanda Director General de la Oficina De Pensiones del Estado, se desahogaron las siguientes pruebas: </w:t>
      </w:r>
      <w:r w:rsidRPr="00505146">
        <w:rPr>
          <w:rFonts w:ascii="Arial" w:eastAsia="Calibri" w:hAnsi="Arial" w:cs="Arial"/>
          <w:b/>
          <w:sz w:val="23"/>
          <w:szCs w:val="23"/>
        </w:rPr>
        <w:t>1.-</w:t>
      </w:r>
      <w:r>
        <w:rPr>
          <w:rFonts w:ascii="Arial" w:eastAsia="Calibri" w:hAnsi="Arial" w:cs="Arial"/>
          <w:b/>
          <w:sz w:val="23"/>
          <w:szCs w:val="23"/>
        </w:rPr>
        <w:t xml:space="preserve"> </w:t>
      </w:r>
      <w:r w:rsidRPr="00D04D13">
        <w:rPr>
          <w:rFonts w:ascii="Arial" w:eastAsia="Calibri" w:hAnsi="Arial" w:cs="Arial"/>
          <w:sz w:val="23"/>
          <w:szCs w:val="23"/>
        </w:rPr>
        <w:t>D</w:t>
      </w:r>
      <w:r>
        <w:rPr>
          <w:rFonts w:ascii="Arial" w:eastAsia="Calibri" w:hAnsi="Arial" w:cs="Arial"/>
          <w:sz w:val="23"/>
          <w:szCs w:val="23"/>
        </w:rPr>
        <w:t>ocumental Publica, consistente en c</w:t>
      </w:r>
      <w:r w:rsidRPr="00505146">
        <w:rPr>
          <w:rFonts w:ascii="Arial" w:eastAsia="Calibri" w:hAnsi="Arial" w:cs="Arial"/>
          <w:sz w:val="23"/>
          <w:szCs w:val="23"/>
        </w:rPr>
        <w:t xml:space="preserve">opia certificada del nombramiento y toma de protesta, en favor de Jesús Parada </w:t>
      </w:r>
      <w:proofErr w:type="spellStart"/>
      <w:r w:rsidRPr="00505146">
        <w:rPr>
          <w:rFonts w:ascii="Arial" w:eastAsia="Calibri" w:hAnsi="Arial" w:cs="Arial"/>
          <w:sz w:val="23"/>
          <w:szCs w:val="23"/>
        </w:rPr>
        <w:t>Parada</w:t>
      </w:r>
      <w:proofErr w:type="spellEnd"/>
      <w:r w:rsidRPr="00505146">
        <w:rPr>
          <w:rFonts w:ascii="Arial" w:eastAsia="Calibri" w:hAnsi="Arial" w:cs="Arial"/>
          <w:sz w:val="23"/>
          <w:szCs w:val="23"/>
        </w:rPr>
        <w:t xml:space="preserve">, en su carácter de Director General de la Oficina de </w:t>
      </w:r>
      <w:r w:rsidRPr="00505146">
        <w:rPr>
          <w:rFonts w:ascii="Arial" w:eastAsia="Calibri" w:hAnsi="Arial" w:cs="Arial"/>
          <w:sz w:val="23"/>
          <w:szCs w:val="23"/>
        </w:rPr>
        <w:lastRenderedPageBreak/>
        <w:t xml:space="preserve">Pensiones del Estado de Oaxaca; </w:t>
      </w:r>
      <w:r w:rsidRPr="00505146">
        <w:rPr>
          <w:rFonts w:ascii="Arial" w:eastAsia="Calibri" w:hAnsi="Arial" w:cs="Arial"/>
          <w:b/>
          <w:sz w:val="23"/>
          <w:szCs w:val="23"/>
        </w:rPr>
        <w:t>2.-</w:t>
      </w:r>
      <w:r w:rsidRPr="00505146">
        <w:rPr>
          <w:rFonts w:ascii="Arial" w:eastAsia="Calibri" w:hAnsi="Arial" w:cs="Arial"/>
          <w:sz w:val="23"/>
          <w:szCs w:val="23"/>
        </w:rPr>
        <w:t xml:space="preserve"> </w:t>
      </w:r>
      <w:r>
        <w:rPr>
          <w:rFonts w:ascii="Arial" w:eastAsia="Calibri" w:hAnsi="Arial" w:cs="Arial"/>
          <w:sz w:val="23"/>
          <w:szCs w:val="23"/>
        </w:rPr>
        <w:t>Documental Pública, consistente en copia certificada del oficio OP/DG/3009</w:t>
      </w:r>
      <w:r w:rsidRPr="00505146">
        <w:rPr>
          <w:rFonts w:ascii="Arial" w:eastAsia="Calibri" w:hAnsi="Arial" w:cs="Arial"/>
          <w:sz w:val="23"/>
          <w:szCs w:val="23"/>
        </w:rPr>
        <w:t>/</w:t>
      </w:r>
      <w:r>
        <w:rPr>
          <w:rFonts w:ascii="Arial" w:eastAsia="Calibri" w:hAnsi="Arial" w:cs="Arial"/>
          <w:sz w:val="23"/>
          <w:szCs w:val="23"/>
        </w:rPr>
        <w:t>2017, de fecha ocho de febrero</w:t>
      </w:r>
      <w:r w:rsidRPr="00505146">
        <w:rPr>
          <w:rFonts w:ascii="Arial" w:eastAsia="Calibri" w:hAnsi="Arial" w:cs="Arial"/>
          <w:sz w:val="23"/>
          <w:szCs w:val="23"/>
        </w:rPr>
        <w:t xml:space="preserve"> de dos mil diecisiete</w:t>
      </w:r>
      <w:r>
        <w:rPr>
          <w:rFonts w:ascii="Arial" w:eastAsia="Calibri" w:hAnsi="Arial" w:cs="Arial"/>
          <w:sz w:val="23"/>
          <w:szCs w:val="23"/>
        </w:rPr>
        <w:t xml:space="preserve"> y copia certificada del oficio OP/DG/1860/14, de fecha veintiséis de septiembre de dos mil catorce, dirigido a **********, donde se aprobó su pensión; nombramiento para efectos de jubilación número 096, de fecha dieciséis de julio de dos mil catorce, signado por José Juan Pérez Maya, Director de Recursos Humanos de la Secretaria de Administración del Estado; y la Constancia de sueldo número DSP/224/214, de fecha nueve de junio de dos mil catorce</w:t>
      </w:r>
      <w:r w:rsidRPr="00505146">
        <w:rPr>
          <w:rFonts w:ascii="Arial" w:eastAsia="Calibri" w:hAnsi="Arial" w:cs="Arial"/>
          <w:sz w:val="23"/>
          <w:szCs w:val="23"/>
        </w:rPr>
        <w:t>;</w:t>
      </w:r>
      <w:r>
        <w:rPr>
          <w:rFonts w:ascii="Arial" w:eastAsia="Calibri" w:hAnsi="Arial" w:cs="Arial"/>
          <w:sz w:val="23"/>
          <w:szCs w:val="23"/>
        </w:rPr>
        <w:t xml:space="preserve"> </w:t>
      </w:r>
      <w:r>
        <w:rPr>
          <w:rFonts w:ascii="Arial" w:eastAsia="Calibri" w:hAnsi="Arial" w:cs="Arial"/>
          <w:b/>
          <w:sz w:val="23"/>
          <w:szCs w:val="23"/>
        </w:rPr>
        <w:t>3.-</w:t>
      </w:r>
      <w:r w:rsidRPr="00505146">
        <w:rPr>
          <w:rFonts w:ascii="Arial" w:eastAsia="Calibri" w:hAnsi="Arial" w:cs="Arial"/>
          <w:sz w:val="23"/>
          <w:szCs w:val="23"/>
        </w:rPr>
        <w:t xml:space="preserve"> Instrumental de Actuaciones; y</w:t>
      </w:r>
      <w:r>
        <w:rPr>
          <w:rFonts w:ascii="Arial" w:eastAsia="Calibri" w:hAnsi="Arial" w:cs="Arial"/>
          <w:sz w:val="23"/>
          <w:szCs w:val="23"/>
        </w:rPr>
        <w:t>,</w:t>
      </w:r>
      <w:r w:rsidRPr="00505146">
        <w:rPr>
          <w:rFonts w:ascii="Arial" w:eastAsia="Calibri" w:hAnsi="Arial" w:cs="Arial"/>
          <w:sz w:val="23"/>
          <w:szCs w:val="23"/>
        </w:rPr>
        <w:t xml:space="preserve"> </w:t>
      </w:r>
      <w:r>
        <w:rPr>
          <w:rFonts w:ascii="Arial" w:eastAsia="Calibri" w:hAnsi="Arial" w:cs="Arial"/>
          <w:b/>
          <w:sz w:val="23"/>
          <w:szCs w:val="23"/>
        </w:rPr>
        <w:t>4</w:t>
      </w:r>
      <w:r w:rsidRPr="00505146">
        <w:rPr>
          <w:rFonts w:ascii="Arial" w:eastAsia="Calibri" w:hAnsi="Arial" w:cs="Arial"/>
          <w:b/>
          <w:sz w:val="23"/>
          <w:szCs w:val="23"/>
        </w:rPr>
        <w:t>.-</w:t>
      </w:r>
      <w:r>
        <w:rPr>
          <w:rFonts w:ascii="Arial" w:eastAsia="Calibri" w:hAnsi="Arial" w:cs="Arial"/>
          <w:sz w:val="23"/>
          <w:szCs w:val="23"/>
        </w:rPr>
        <w:t xml:space="preserve"> Presuncional</w:t>
      </w:r>
      <w:r w:rsidRPr="00505146">
        <w:rPr>
          <w:rFonts w:ascii="Arial" w:eastAsia="Calibri" w:hAnsi="Arial" w:cs="Arial"/>
          <w:sz w:val="23"/>
          <w:szCs w:val="23"/>
        </w:rPr>
        <w:t xml:space="preserve"> Legal y Humana.</w:t>
      </w:r>
    </w:p>
    <w:p w:rsidR="00D16F90" w:rsidRPr="00505146" w:rsidRDefault="00D16F90" w:rsidP="00D16F90">
      <w:pPr>
        <w:spacing w:line="360" w:lineRule="auto"/>
        <w:ind w:firstLine="708"/>
        <w:jc w:val="both"/>
        <w:rPr>
          <w:rFonts w:ascii="Arial" w:eastAsia="Calibri" w:hAnsi="Arial" w:cs="Arial"/>
          <w:sz w:val="23"/>
          <w:szCs w:val="23"/>
        </w:rPr>
      </w:pPr>
    </w:p>
    <w:p w:rsidR="00D16F90" w:rsidRPr="00505146" w:rsidRDefault="00D16F90" w:rsidP="00D16F90">
      <w:pPr>
        <w:spacing w:line="360" w:lineRule="auto"/>
        <w:ind w:firstLine="708"/>
        <w:jc w:val="both"/>
        <w:rPr>
          <w:rFonts w:ascii="Arial" w:eastAsia="Calibri" w:hAnsi="Arial" w:cs="Arial"/>
          <w:sz w:val="23"/>
          <w:szCs w:val="23"/>
        </w:rPr>
      </w:pPr>
      <w:r w:rsidRPr="00505146">
        <w:rPr>
          <w:rFonts w:ascii="Arial" w:eastAsia="Calibri" w:hAnsi="Arial" w:cs="Arial"/>
          <w:sz w:val="23"/>
          <w:szCs w:val="23"/>
        </w:rPr>
        <w:t>Finalmente, en el periodo de alegatos se recibió escrito presentado por la parte actora por medio del cual presenta los mismos, sin que obre escrito de alegatos de la autoridad</w:t>
      </w:r>
      <w:r>
        <w:rPr>
          <w:rFonts w:ascii="Arial" w:eastAsia="Calibri" w:hAnsi="Arial" w:cs="Arial"/>
          <w:sz w:val="23"/>
          <w:szCs w:val="23"/>
        </w:rPr>
        <w:t xml:space="preserve"> demandada; por lo que, se citó a</w:t>
      </w:r>
      <w:r w:rsidRPr="00505146">
        <w:rPr>
          <w:rFonts w:ascii="Arial" w:eastAsia="Calibri" w:hAnsi="Arial" w:cs="Arial"/>
          <w:sz w:val="23"/>
          <w:szCs w:val="23"/>
        </w:rPr>
        <w:t xml:space="preserve"> las partes para oír sentencia que ahora se pronuncia. </w:t>
      </w:r>
    </w:p>
    <w:p w:rsidR="00D16F90" w:rsidRPr="00505146" w:rsidRDefault="00D16F90" w:rsidP="00D16F90">
      <w:pPr>
        <w:tabs>
          <w:tab w:val="center" w:pos="4574"/>
        </w:tabs>
        <w:spacing w:before="240" w:line="360" w:lineRule="auto"/>
        <w:ind w:firstLine="708"/>
        <w:jc w:val="center"/>
        <w:rPr>
          <w:rFonts w:ascii="Arial" w:eastAsia="Calibri" w:hAnsi="Arial" w:cs="Arial"/>
          <w:b/>
          <w:sz w:val="23"/>
          <w:szCs w:val="23"/>
        </w:rPr>
      </w:pPr>
      <w:r w:rsidRPr="00505146">
        <w:rPr>
          <w:rFonts w:ascii="Arial" w:eastAsia="Calibri" w:hAnsi="Arial" w:cs="Arial"/>
          <w:b/>
          <w:sz w:val="23"/>
          <w:szCs w:val="23"/>
        </w:rPr>
        <w:t>C O N S I D E R A N D O</w:t>
      </w:r>
    </w:p>
    <w:p w:rsidR="00D16F90" w:rsidRPr="00505146" w:rsidRDefault="00D16F90" w:rsidP="00D16F90">
      <w:pPr>
        <w:spacing w:line="360" w:lineRule="auto"/>
        <w:ind w:right="-93" w:firstLine="708"/>
        <w:jc w:val="both"/>
        <w:rPr>
          <w:rFonts w:ascii="Arial" w:eastAsia="Calibri" w:hAnsi="Arial" w:cs="Arial"/>
          <w:sz w:val="23"/>
          <w:szCs w:val="23"/>
        </w:rPr>
      </w:pPr>
      <w:r>
        <w:rPr>
          <w:rFonts w:ascii="Arial" w:eastAsia="Calibri" w:hAnsi="Arial" w:cs="Arial"/>
          <w:b/>
          <w:sz w:val="23"/>
          <w:szCs w:val="23"/>
        </w:rPr>
        <w:t xml:space="preserve">PRIMERO. Competencia.- </w:t>
      </w:r>
      <w:r w:rsidRPr="00784726">
        <w:rPr>
          <w:rFonts w:ascii="Arial" w:eastAsia="Calibri" w:hAnsi="Arial" w:cs="Arial"/>
          <w:sz w:val="23"/>
          <w:szCs w:val="23"/>
        </w:rPr>
        <w:t>Esta</w:t>
      </w:r>
      <w:r>
        <w:rPr>
          <w:rFonts w:ascii="Arial" w:eastAsia="Calibri" w:hAnsi="Arial" w:cs="Arial"/>
          <w:b/>
          <w:sz w:val="23"/>
          <w:szCs w:val="23"/>
        </w:rPr>
        <w:t xml:space="preserve"> </w:t>
      </w:r>
      <w:r w:rsidRPr="00784726">
        <w:rPr>
          <w:rFonts w:ascii="Arial" w:eastAsia="Calibri" w:hAnsi="Arial" w:cs="Arial"/>
          <w:sz w:val="23"/>
          <w:szCs w:val="23"/>
        </w:rPr>
        <w:t>Segunda</w:t>
      </w:r>
      <w:r>
        <w:rPr>
          <w:rFonts w:ascii="Arial" w:eastAsia="Calibri" w:hAnsi="Arial" w:cs="Arial"/>
          <w:sz w:val="23"/>
          <w:szCs w:val="23"/>
        </w:rPr>
        <w:t xml:space="preserve"> Sala Unitaria del Tribunal de Justicia Administrativa del Estado de Oaxaca, es competente para conocer del presente asunto en términos del artículo QUINTO Transitorio del Decreto Núm.1367,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IV, de la Constitución Política del estado Libre y Soberano de Oaxaca; 81,82 fracción I, 92,96, fracción II de la Ley de Justicia Administrativa para el estado de Oaxaca, por tratarse de un juicio en contra de una autoridad administrativa de carácter estatal.            </w:t>
      </w:r>
    </w:p>
    <w:p w:rsidR="00D16F90" w:rsidRPr="00505146" w:rsidRDefault="00D16F90" w:rsidP="00D16F90">
      <w:pPr>
        <w:spacing w:before="240" w:line="360" w:lineRule="auto"/>
        <w:ind w:firstLine="708"/>
        <w:jc w:val="both"/>
        <w:rPr>
          <w:rFonts w:ascii="Arial" w:hAnsi="Arial" w:cs="Arial"/>
          <w:sz w:val="23"/>
          <w:szCs w:val="23"/>
          <w:lang w:eastAsia="es-MX"/>
        </w:rPr>
      </w:pPr>
      <w:r>
        <w:rPr>
          <w:rFonts w:ascii="Arial" w:hAnsi="Arial" w:cs="Arial"/>
          <w:b/>
          <w:sz w:val="23"/>
          <w:szCs w:val="23"/>
          <w:lang w:eastAsia="es-MX"/>
        </w:rPr>
        <w:t xml:space="preserve">SEGUNDO. </w:t>
      </w:r>
      <w:r w:rsidRPr="00505146">
        <w:rPr>
          <w:rFonts w:ascii="Arial" w:hAnsi="Arial" w:cs="Arial"/>
          <w:b/>
          <w:sz w:val="23"/>
          <w:szCs w:val="23"/>
          <w:lang w:eastAsia="es-MX"/>
        </w:rPr>
        <w:t>Personalidad.-</w:t>
      </w:r>
      <w:r w:rsidRPr="00505146">
        <w:rPr>
          <w:rFonts w:ascii="Arial" w:hAnsi="Arial" w:cs="Arial"/>
          <w:sz w:val="23"/>
          <w:szCs w:val="23"/>
          <w:lang w:eastAsia="es-MX"/>
        </w:rPr>
        <w:t xml:space="preserve"> Quedó acreditada de c</w:t>
      </w:r>
      <w:r>
        <w:rPr>
          <w:rFonts w:ascii="Arial" w:hAnsi="Arial" w:cs="Arial"/>
          <w:sz w:val="23"/>
          <w:szCs w:val="23"/>
          <w:lang w:eastAsia="es-MX"/>
        </w:rPr>
        <w:t>onformidad con los artículos 119 y 120</w:t>
      </w:r>
      <w:r w:rsidRPr="00505146">
        <w:rPr>
          <w:rFonts w:ascii="Arial" w:hAnsi="Arial" w:cs="Arial"/>
          <w:sz w:val="23"/>
          <w:szCs w:val="23"/>
          <w:lang w:eastAsia="es-MX"/>
        </w:rPr>
        <w:t xml:space="preserve"> de la </w:t>
      </w:r>
      <w:r>
        <w:rPr>
          <w:rFonts w:ascii="Arial" w:hAnsi="Arial" w:cs="Arial"/>
          <w:sz w:val="23"/>
          <w:szCs w:val="23"/>
          <w:lang w:eastAsia="es-MX"/>
        </w:rPr>
        <w:t xml:space="preserve">Ley de </w:t>
      </w:r>
      <w:r w:rsidRPr="00505146">
        <w:rPr>
          <w:rFonts w:ascii="Arial" w:hAnsi="Arial" w:cs="Arial"/>
          <w:sz w:val="23"/>
          <w:szCs w:val="23"/>
          <w:lang w:eastAsia="es-MX"/>
        </w:rPr>
        <w:t>Justicia Administrativa para el Estado de Oaxaca, que rige este procedimiento administrativo, toda vez que la parte actora promueve por propio derecho y respecto a la</w:t>
      </w:r>
      <w:r>
        <w:rPr>
          <w:rFonts w:ascii="Arial" w:hAnsi="Arial" w:cs="Arial"/>
          <w:sz w:val="23"/>
          <w:szCs w:val="23"/>
          <w:lang w:eastAsia="es-MX"/>
        </w:rPr>
        <w:t>s</w:t>
      </w:r>
      <w:r w:rsidRPr="00505146">
        <w:rPr>
          <w:rFonts w:ascii="Arial" w:hAnsi="Arial" w:cs="Arial"/>
          <w:sz w:val="23"/>
          <w:szCs w:val="23"/>
          <w:lang w:eastAsia="es-MX"/>
        </w:rPr>
        <w:t xml:space="preserve"> autoridad</w:t>
      </w:r>
      <w:r>
        <w:rPr>
          <w:rFonts w:ascii="Arial" w:hAnsi="Arial" w:cs="Arial"/>
          <w:sz w:val="23"/>
          <w:szCs w:val="23"/>
          <w:lang w:eastAsia="es-MX"/>
        </w:rPr>
        <w:t>es</w:t>
      </w:r>
      <w:r w:rsidRPr="00505146">
        <w:rPr>
          <w:rFonts w:ascii="Arial" w:hAnsi="Arial" w:cs="Arial"/>
          <w:sz w:val="23"/>
          <w:szCs w:val="23"/>
          <w:lang w:eastAsia="es-MX"/>
        </w:rPr>
        <w:t xml:space="preserve"> demandada</w:t>
      </w:r>
      <w:r>
        <w:rPr>
          <w:rFonts w:ascii="Arial" w:hAnsi="Arial" w:cs="Arial"/>
          <w:sz w:val="23"/>
          <w:szCs w:val="23"/>
          <w:lang w:eastAsia="es-MX"/>
        </w:rPr>
        <w:t>s se tuvo por acreditada su personalidad</w:t>
      </w:r>
      <w:r w:rsidRPr="00505146">
        <w:rPr>
          <w:rFonts w:ascii="Arial" w:hAnsi="Arial" w:cs="Arial"/>
          <w:sz w:val="23"/>
          <w:szCs w:val="23"/>
          <w:lang w:eastAsia="es-MX"/>
        </w:rPr>
        <w:t xml:space="preserve">.  </w:t>
      </w:r>
    </w:p>
    <w:p w:rsidR="00D16F90" w:rsidRPr="00505146" w:rsidRDefault="00D16F90" w:rsidP="00D16F90">
      <w:pPr>
        <w:spacing w:before="240" w:line="360" w:lineRule="auto"/>
        <w:ind w:firstLine="567"/>
        <w:jc w:val="both"/>
        <w:rPr>
          <w:rFonts w:ascii="Arial" w:eastAsia="Calibri" w:hAnsi="Arial" w:cs="Arial"/>
          <w:color w:val="000000"/>
          <w:sz w:val="23"/>
          <w:szCs w:val="23"/>
        </w:rPr>
      </w:pPr>
      <w:r>
        <w:rPr>
          <w:rFonts w:ascii="Arial" w:eastAsia="Calibri" w:hAnsi="Arial" w:cs="Arial"/>
          <w:b/>
          <w:sz w:val="23"/>
          <w:szCs w:val="23"/>
        </w:rPr>
        <w:t>TERCERO.</w:t>
      </w:r>
      <w:r w:rsidRPr="00505146">
        <w:rPr>
          <w:rFonts w:ascii="Arial" w:eastAsia="Calibri" w:hAnsi="Arial" w:cs="Arial"/>
          <w:b/>
          <w:sz w:val="23"/>
          <w:szCs w:val="23"/>
        </w:rPr>
        <w:t xml:space="preserve"> Fijación de la Litis.</w:t>
      </w:r>
      <w:r>
        <w:rPr>
          <w:rFonts w:ascii="Arial" w:eastAsia="Calibri" w:hAnsi="Arial" w:cs="Arial"/>
          <w:b/>
          <w:sz w:val="23"/>
          <w:szCs w:val="23"/>
        </w:rPr>
        <w:t>-</w:t>
      </w:r>
      <w:r w:rsidRPr="00505146">
        <w:rPr>
          <w:rFonts w:ascii="Arial" w:eastAsia="Calibri" w:hAnsi="Arial" w:cs="Arial"/>
          <w:b/>
          <w:sz w:val="23"/>
          <w:szCs w:val="23"/>
        </w:rPr>
        <w:t xml:space="preserve"> </w:t>
      </w:r>
      <w:r w:rsidRPr="00505146">
        <w:rPr>
          <w:rFonts w:ascii="Arial" w:eastAsia="Calibri" w:hAnsi="Arial" w:cs="Arial"/>
          <w:sz w:val="23"/>
          <w:szCs w:val="23"/>
        </w:rPr>
        <w:t>La misma surge d</w:t>
      </w:r>
      <w:r>
        <w:rPr>
          <w:rFonts w:ascii="Arial" w:eastAsia="Calibri" w:hAnsi="Arial" w:cs="Arial"/>
          <w:sz w:val="23"/>
          <w:szCs w:val="23"/>
        </w:rPr>
        <w:t>e la ilegalidad planteada por el</w:t>
      </w:r>
      <w:r w:rsidRPr="00505146">
        <w:rPr>
          <w:rFonts w:ascii="Arial" w:eastAsia="Calibri" w:hAnsi="Arial" w:cs="Arial"/>
          <w:sz w:val="23"/>
          <w:szCs w:val="23"/>
        </w:rPr>
        <w:t xml:space="preserve"> </w:t>
      </w:r>
      <w:r>
        <w:rPr>
          <w:rFonts w:ascii="Arial" w:eastAsia="Calibri" w:hAnsi="Arial" w:cs="Arial"/>
          <w:color w:val="000000"/>
          <w:sz w:val="23"/>
          <w:szCs w:val="23"/>
        </w:rPr>
        <w:t xml:space="preserve">actor </w:t>
      </w:r>
      <w:r>
        <w:rPr>
          <w:rFonts w:ascii="Arial" w:eastAsia="Calibri" w:hAnsi="Arial" w:cs="Arial"/>
          <w:sz w:val="23"/>
          <w:szCs w:val="23"/>
        </w:rPr>
        <w:t>**********</w:t>
      </w:r>
      <w:r w:rsidRPr="00505146">
        <w:rPr>
          <w:rFonts w:ascii="Arial" w:eastAsia="Calibri" w:hAnsi="Arial" w:cs="Arial"/>
          <w:sz w:val="23"/>
          <w:szCs w:val="23"/>
        </w:rPr>
        <w:t>,</w:t>
      </w:r>
      <w:r w:rsidRPr="00505146">
        <w:rPr>
          <w:rFonts w:ascii="Arial" w:eastAsia="Calibri" w:hAnsi="Arial" w:cs="Arial"/>
          <w:color w:val="000000"/>
          <w:sz w:val="23"/>
          <w:szCs w:val="23"/>
        </w:rPr>
        <w:t xml:space="preserve"> respecto de</w:t>
      </w:r>
      <w:r>
        <w:rPr>
          <w:rFonts w:ascii="Arial" w:eastAsia="Calibri" w:hAnsi="Arial" w:cs="Arial"/>
          <w:color w:val="000000"/>
          <w:sz w:val="23"/>
          <w:szCs w:val="23"/>
        </w:rPr>
        <w:t xml:space="preserve"> </w:t>
      </w:r>
      <w:r w:rsidRPr="00505146">
        <w:rPr>
          <w:rFonts w:ascii="Arial" w:eastAsia="Calibri" w:hAnsi="Arial" w:cs="Arial"/>
          <w:color w:val="000000"/>
          <w:sz w:val="23"/>
          <w:szCs w:val="23"/>
        </w:rPr>
        <w:t>l</w:t>
      </w:r>
      <w:r>
        <w:rPr>
          <w:rFonts w:ascii="Arial" w:eastAsia="Calibri" w:hAnsi="Arial" w:cs="Arial"/>
          <w:color w:val="000000"/>
          <w:sz w:val="23"/>
          <w:szCs w:val="23"/>
        </w:rPr>
        <w:t>os</w:t>
      </w:r>
      <w:r w:rsidRPr="00505146">
        <w:rPr>
          <w:rFonts w:ascii="Arial" w:eastAsia="Calibri" w:hAnsi="Arial" w:cs="Arial"/>
          <w:color w:val="000000"/>
          <w:sz w:val="23"/>
          <w:szCs w:val="23"/>
        </w:rPr>
        <w:t xml:space="preserve"> oficio</w:t>
      </w:r>
      <w:r>
        <w:rPr>
          <w:rFonts w:ascii="Arial" w:eastAsia="Calibri" w:hAnsi="Arial" w:cs="Arial"/>
          <w:color w:val="000000"/>
          <w:sz w:val="23"/>
          <w:szCs w:val="23"/>
        </w:rPr>
        <w:t>s</w:t>
      </w:r>
      <w:r>
        <w:rPr>
          <w:rFonts w:ascii="Arial" w:eastAsia="Calibri" w:hAnsi="Arial" w:cs="Arial"/>
          <w:sz w:val="23"/>
          <w:szCs w:val="23"/>
        </w:rPr>
        <w:t xml:space="preserve"> OP/DG/3009/2016, de fecha veintitrés de diciembre de dos mil dieciséis y OP/DG/1860/14 de fecha veintiséis de septiembre de dos mil catorce,</w:t>
      </w:r>
      <w:r w:rsidRPr="00505146">
        <w:rPr>
          <w:rFonts w:ascii="Arial" w:eastAsia="Calibri" w:hAnsi="Arial" w:cs="Arial"/>
          <w:sz w:val="23"/>
          <w:szCs w:val="23"/>
        </w:rPr>
        <w:t xml:space="preserve"> suscrito</w:t>
      </w:r>
      <w:r>
        <w:rPr>
          <w:rFonts w:ascii="Arial" w:eastAsia="Calibri" w:hAnsi="Arial" w:cs="Arial"/>
          <w:sz w:val="23"/>
          <w:szCs w:val="23"/>
        </w:rPr>
        <w:t>s</w:t>
      </w:r>
      <w:r w:rsidRPr="00505146">
        <w:rPr>
          <w:rFonts w:ascii="Arial" w:eastAsia="Calibri" w:hAnsi="Arial" w:cs="Arial"/>
          <w:sz w:val="23"/>
          <w:szCs w:val="23"/>
        </w:rPr>
        <w:t xml:space="preserve"> por el Director General de la Oficina de Pensiones del Gobierno del</w:t>
      </w:r>
      <w:r>
        <w:rPr>
          <w:rFonts w:ascii="Arial" w:eastAsia="Calibri" w:hAnsi="Arial" w:cs="Arial"/>
          <w:sz w:val="23"/>
          <w:szCs w:val="23"/>
        </w:rPr>
        <w:t xml:space="preserve"> Estado, de donde se duele que </w:t>
      </w:r>
      <w:r w:rsidRPr="00505146">
        <w:rPr>
          <w:rFonts w:ascii="Arial" w:eastAsia="Calibri" w:hAnsi="Arial" w:cs="Arial"/>
          <w:sz w:val="23"/>
          <w:szCs w:val="23"/>
        </w:rPr>
        <w:t>l</w:t>
      </w:r>
      <w:r>
        <w:rPr>
          <w:rFonts w:ascii="Arial" w:eastAsia="Calibri" w:hAnsi="Arial" w:cs="Arial"/>
          <w:sz w:val="23"/>
          <w:szCs w:val="23"/>
        </w:rPr>
        <w:t>os</w:t>
      </w:r>
      <w:r w:rsidRPr="00505146">
        <w:rPr>
          <w:rFonts w:ascii="Arial" w:eastAsia="Calibri" w:hAnsi="Arial" w:cs="Arial"/>
          <w:sz w:val="23"/>
          <w:szCs w:val="23"/>
        </w:rPr>
        <w:t xml:space="preserve"> mismo</w:t>
      </w:r>
      <w:r>
        <w:rPr>
          <w:rFonts w:ascii="Arial" w:eastAsia="Calibri" w:hAnsi="Arial" w:cs="Arial"/>
          <w:sz w:val="23"/>
          <w:szCs w:val="23"/>
        </w:rPr>
        <w:t>s</w:t>
      </w:r>
      <w:r w:rsidRPr="00505146">
        <w:rPr>
          <w:rFonts w:ascii="Arial" w:eastAsia="Calibri" w:hAnsi="Arial" w:cs="Arial"/>
          <w:sz w:val="23"/>
          <w:szCs w:val="23"/>
        </w:rPr>
        <w:t xml:space="preserve"> se encuentra i</w:t>
      </w:r>
      <w:r>
        <w:rPr>
          <w:rFonts w:ascii="Arial" w:eastAsia="Calibri" w:hAnsi="Arial" w:cs="Arial"/>
          <w:sz w:val="23"/>
          <w:szCs w:val="23"/>
        </w:rPr>
        <w:t>ndebidamente fundados y motivados;</w:t>
      </w:r>
      <w:r w:rsidRPr="00505146">
        <w:rPr>
          <w:rFonts w:ascii="Arial" w:eastAsia="Calibri" w:hAnsi="Arial" w:cs="Arial"/>
          <w:sz w:val="23"/>
          <w:szCs w:val="23"/>
        </w:rPr>
        <w:t xml:space="preserve"> </w:t>
      </w:r>
      <w:r w:rsidRPr="00505146">
        <w:rPr>
          <w:rFonts w:ascii="Arial" w:eastAsia="Calibri" w:hAnsi="Arial" w:cs="Arial"/>
          <w:color w:val="000000"/>
          <w:sz w:val="23"/>
          <w:szCs w:val="23"/>
        </w:rPr>
        <w:t>además</w:t>
      </w:r>
      <w:r>
        <w:rPr>
          <w:rFonts w:ascii="Arial" w:eastAsia="Calibri" w:hAnsi="Arial" w:cs="Arial"/>
          <w:color w:val="000000"/>
          <w:sz w:val="23"/>
          <w:szCs w:val="23"/>
        </w:rPr>
        <w:t>,</w:t>
      </w:r>
      <w:r w:rsidRPr="00505146">
        <w:rPr>
          <w:rFonts w:ascii="Arial" w:eastAsia="Calibri" w:hAnsi="Arial" w:cs="Arial"/>
          <w:color w:val="000000"/>
          <w:sz w:val="23"/>
          <w:szCs w:val="23"/>
        </w:rPr>
        <w:t xml:space="preserve"> refiere que de forma arbitraria y discriminatoria se le aplico el artículo 54 de la Ley </w:t>
      </w:r>
      <w:r>
        <w:rPr>
          <w:rFonts w:ascii="Arial" w:eastAsia="Calibri" w:hAnsi="Arial" w:cs="Arial"/>
          <w:color w:val="000000"/>
          <w:sz w:val="23"/>
          <w:szCs w:val="23"/>
        </w:rPr>
        <w:t>de Pensiones para los Trabajadores del e</w:t>
      </w:r>
      <w:r w:rsidRPr="00505146">
        <w:rPr>
          <w:rFonts w:ascii="Arial" w:eastAsia="Calibri" w:hAnsi="Arial" w:cs="Arial"/>
          <w:color w:val="000000"/>
          <w:sz w:val="23"/>
          <w:szCs w:val="23"/>
        </w:rPr>
        <w:t xml:space="preserve">stado de </w:t>
      </w:r>
      <w:r w:rsidRPr="00505146">
        <w:rPr>
          <w:rFonts w:ascii="Arial" w:eastAsia="Calibri" w:hAnsi="Arial" w:cs="Arial"/>
          <w:color w:val="000000"/>
          <w:sz w:val="23"/>
          <w:szCs w:val="23"/>
        </w:rPr>
        <w:lastRenderedPageBreak/>
        <w:t xml:space="preserve">Oaxaca, ya que no integro las demás prestaciones consistentes en </w:t>
      </w:r>
      <w:r w:rsidRPr="00505146">
        <w:rPr>
          <w:rFonts w:ascii="Arial" w:eastAsia="Calibri" w:hAnsi="Arial" w:cs="Arial"/>
          <w:b/>
          <w:color w:val="000000"/>
          <w:sz w:val="23"/>
          <w:szCs w:val="23"/>
        </w:rPr>
        <w:t>a).-</w:t>
      </w:r>
      <w:r w:rsidRPr="00505146">
        <w:rPr>
          <w:rFonts w:ascii="Arial" w:eastAsia="Calibri" w:hAnsi="Arial" w:cs="Arial"/>
          <w:color w:val="000000"/>
          <w:sz w:val="23"/>
          <w:szCs w:val="23"/>
        </w:rPr>
        <w:t xml:space="preserve"> Previsión social múltiple, </w:t>
      </w:r>
      <w:r w:rsidRPr="00505146">
        <w:rPr>
          <w:rFonts w:ascii="Arial" w:eastAsia="Calibri" w:hAnsi="Arial" w:cs="Arial"/>
          <w:b/>
          <w:color w:val="000000"/>
          <w:sz w:val="23"/>
          <w:szCs w:val="23"/>
        </w:rPr>
        <w:t>b).-</w:t>
      </w:r>
      <w:r w:rsidRPr="00505146">
        <w:rPr>
          <w:rFonts w:ascii="Arial" w:eastAsia="Calibri" w:hAnsi="Arial" w:cs="Arial"/>
          <w:color w:val="000000"/>
          <w:sz w:val="23"/>
          <w:szCs w:val="23"/>
        </w:rPr>
        <w:t xml:space="preserve"> Despensa, </w:t>
      </w:r>
      <w:r w:rsidRPr="00505146">
        <w:rPr>
          <w:rFonts w:ascii="Arial" w:eastAsia="Calibri" w:hAnsi="Arial" w:cs="Arial"/>
          <w:b/>
          <w:color w:val="000000"/>
          <w:sz w:val="23"/>
          <w:szCs w:val="23"/>
        </w:rPr>
        <w:t>c).-</w:t>
      </w:r>
      <w:r>
        <w:rPr>
          <w:rFonts w:ascii="Arial" w:eastAsia="Calibri" w:hAnsi="Arial" w:cs="Arial"/>
          <w:color w:val="000000"/>
          <w:sz w:val="23"/>
          <w:szCs w:val="23"/>
        </w:rPr>
        <w:t xml:space="preserve"> Vida cara, </w:t>
      </w:r>
      <w:r w:rsidRPr="00505146">
        <w:rPr>
          <w:rFonts w:ascii="Arial" w:eastAsia="Calibri" w:hAnsi="Arial" w:cs="Arial"/>
          <w:b/>
          <w:color w:val="000000"/>
          <w:sz w:val="23"/>
          <w:szCs w:val="23"/>
        </w:rPr>
        <w:t>d).-</w:t>
      </w:r>
      <w:r w:rsidRPr="00505146">
        <w:rPr>
          <w:rFonts w:ascii="Arial" w:eastAsia="Calibri" w:hAnsi="Arial" w:cs="Arial"/>
          <w:color w:val="000000"/>
          <w:sz w:val="23"/>
          <w:szCs w:val="23"/>
        </w:rPr>
        <w:t xml:space="preserve"> Quinquenios, </w:t>
      </w:r>
      <w:r w:rsidRPr="00505146">
        <w:rPr>
          <w:rFonts w:ascii="Arial" w:eastAsia="Calibri" w:hAnsi="Arial" w:cs="Arial"/>
          <w:b/>
          <w:color w:val="000000"/>
          <w:sz w:val="23"/>
          <w:szCs w:val="23"/>
        </w:rPr>
        <w:t>e).-</w:t>
      </w:r>
      <w:r w:rsidRPr="00505146">
        <w:rPr>
          <w:rFonts w:ascii="Arial" w:eastAsia="Calibri" w:hAnsi="Arial" w:cs="Arial"/>
          <w:color w:val="000000"/>
          <w:sz w:val="23"/>
          <w:szCs w:val="23"/>
        </w:rPr>
        <w:t xml:space="preserve"> Aguinaldo, </w:t>
      </w:r>
      <w:r w:rsidRPr="00505146">
        <w:rPr>
          <w:rFonts w:ascii="Arial" w:eastAsia="Calibri" w:hAnsi="Arial" w:cs="Arial"/>
          <w:b/>
          <w:color w:val="000000"/>
          <w:sz w:val="23"/>
          <w:szCs w:val="23"/>
        </w:rPr>
        <w:t>f).-</w:t>
      </w:r>
      <w:r w:rsidRPr="00505146">
        <w:rPr>
          <w:rFonts w:ascii="Arial" w:eastAsia="Calibri" w:hAnsi="Arial" w:cs="Arial"/>
          <w:color w:val="000000"/>
          <w:sz w:val="23"/>
          <w:szCs w:val="23"/>
        </w:rPr>
        <w:t xml:space="preserve"> Estímulo del día del jubilado, </w:t>
      </w:r>
      <w:r w:rsidRPr="00505146">
        <w:rPr>
          <w:rFonts w:ascii="Arial" w:eastAsia="Calibri" w:hAnsi="Arial" w:cs="Arial"/>
          <w:b/>
          <w:color w:val="000000"/>
          <w:sz w:val="23"/>
          <w:szCs w:val="23"/>
        </w:rPr>
        <w:t xml:space="preserve">g).- </w:t>
      </w:r>
      <w:r w:rsidRPr="00505146">
        <w:rPr>
          <w:rFonts w:ascii="Arial" w:eastAsia="Calibri" w:hAnsi="Arial" w:cs="Arial"/>
          <w:color w:val="000000"/>
          <w:sz w:val="23"/>
          <w:szCs w:val="23"/>
        </w:rPr>
        <w:t xml:space="preserve">Día de las madres y </w:t>
      </w:r>
      <w:r w:rsidRPr="00505146">
        <w:rPr>
          <w:rFonts w:ascii="Arial" w:eastAsia="Calibri" w:hAnsi="Arial" w:cs="Arial"/>
          <w:b/>
          <w:color w:val="000000"/>
          <w:sz w:val="23"/>
          <w:szCs w:val="23"/>
        </w:rPr>
        <w:t>h).-</w:t>
      </w:r>
      <w:r w:rsidRPr="00505146">
        <w:rPr>
          <w:rFonts w:ascii="Arial" w:eastAsia="Calibri" w:hAnsi="Arial" w:cs="Arial"/>
          <w:color w:val="000000"/>
          <w:sz w:val="23"/>
          <w:szCs w:val="23"/>
        </w:rPr>
        <w:t xml:space="preserve"> Canasta navideña, lo</w:t>
      </w:r>
      <w:r>
        <w:rPr>
          <w:rFonts w:ascii="Arial" w:eastAsia="Calibri" w:hAnsi="Arial" w:cs="Arial"/>
          <w:color w:val="000000"/>
          <w:sz w:val="23"/>
          <w:szCs w:val="23"/>
        </w:rPr>
        <w:t xml:space="preserve"> anterior por no ser trabajador jubilado</w:t>
      </w:r>
      <w:r w:rsidRPr="00505146">
        <w:rPr>
          <w:rFonts w:ascii="Arial" w:eastAsia="Calibri" w:hAnsi="Arial" w:cs="Arial"/>
          <w:color w:val="000000"/>
          <w:sz w:val="23"/>
          <w:szCs w:val="23"/>
        </w:rPr>
        <w:t xml:space="preserve"> de base.</w:t>
      </w:r>
    </w:p>
    <w:p w:rsidR="00D16F90" w:rsidRPr="00505146" w:rsidRDefault="00D16F90" w:rsidP="00D16F90">
      <w:pPr>
        <w:spacing w:before="240" w:line="360" w:lineRule="auto"/>
        <w:ind w:firstLine="567"/>
        <w:jc w:val="both"/>
        <w:rPr>
          <w:rFonts w:ascii="Arial" w:eastAsia="Calibri" w:hAnsi="Arial" w:cs="Arial"/>
          <w:sz w:val="23"/>
          <w:szCs w:val="23"/>
        </w:rPr>
      </w:pPr>
      <w:r>
        <w:rPr>
          <w:rFonts w:ascii="Arial" w:eastAsia="Calibri" w:hAnsi="Arial" w:cs="Arial"/>
          <w:b/>
          <w:color w:val="000000"/>
          <w:sz w:val="23"/>
          <w:szCs w:val="23"/>
        </w:rPr>
        <w:t>CUARTO.</w:t>
      </w:r>
      <w:r w:rsidRPr="00505146">
        <w:rPr>
          <w:rFonts w:ascii="Arial" w:eastAsia="Calibri" w:hAnsi="Arial" w:cs="Arial"/>
          <w:b/>
          <w:color w:val="000000"/>
          <w:sz w:val="23"/>
          <w:szCs w:val="23"/>
        </w:rPr>
        <w:t xml:space="preserve"> Existencia del acto impugnado.</w:t>
      </w:r>
      <w:r>
        <w:rPr>
          <w:rFonts w:ascii="Arial" w:eastAsia="Calibri" w:hAnsi="Arial" w:cs="Arial"/>
          <w:b/>
          <w:color w:val="000000"/>
          <w:sz w:val="23"/>
          <w:szCs w:val="23"/>
        </w:rPr>
        <w:t>-</w:t>
      </w:r>
      <w:r w:rsidRPr="00505146">
        <w:rPr>
          <w:rFonts w:ascii="Arial" w:eastAsia="Calibri" w:hAnsi="Arial" w:cs="Arial"/>
          <w:b/>
          <w:color w:val="000000"/>
          <w:sz w:val="23"/>
          <w:szCs w:val="23"/>
        </w:rPr>
        <w:t xml:space="preserve"> </w:t>
      </w:r>
      <w:r>
        <w:rPr>
          <w:rFonts w:ascii="Arial" w:eastAsia="Calibri" w:hAnsi="Arial" w:cs="Arial"/>
          <w:color w:val="000000"/>
          <w:sz w:val="23"/>
          <w:szCs w:val="23"/>
        </w:rPr>
        <w:t>Los</w:t>
      </w:r>
      <w:r w:rsidRPr="00505146">
        <w:rPr>
          <w:rFonts w:ascii="Arial" w:eastAsia="Calibri" w:hAnsi="Arial" w:cs="Arial"/>
          <w:color w:val="000000"/>
          <w:sz w:val="23"/>
          <w:szCs w:val="23"/>
        </w:rPr>
        <w:t xml:space="preserve"> acto</w:t>
      </w:r>
      <w:r>
        <w:rPr>
          <w:rFonts w:ascii="Arial" w:eastAsia="Calibri" w:hAnsi="Arial" w:cs="Arial"/>
          <w:color w:val="000000"/>
          <w:sz w:val="23"/>
          <w:szCs w:val="23"/>
        </w:rPr>
        <w:t>s</w:t>
      </w:r>
      <w:r w:rsidRPr="00505146">
        <w:rPr>
          <w:rFonts w:ascii="Arial" w:eastAsia="Calibri" w:hAnsi="Arial" w:cs="Arial"/>
          <w:color w:val="000000"/>
          <w:sz w:val="23"/>
          <w:szCs w:val="23"/>
        </w:rPr>
        <w:t xml:space="preserve"> impugnado</w:t>
      </w:r>
      <w:r>
        <w:rPr>
          <w:rFonts w:ascii="Arial" w:eastAsia="Calibri" w:hAnsi="Arial" w:cs="Arial"/>
          <w:color w:val="000000"/>
          <w:sz w:val="23"/>
          <w:szCs w:val="23"/>
        </w:rPr>
        <w:t>s son los</w:t>
      </w:r>
      <w:r w:rsidRPr="00505146">
        <w:rPr>
          <w:rFonts w:ascii="Arial" w:eastAsia="Calibri" w:hAnsi="Arial" w:cs="Arial"/>
          <w:color w:val="000000"/>
          <w:sz w:val="23"/>
          <w:szCs w:val="23"/>
        </w:rPr>
        <w:t xml:space="preserve">  oficio</w:t>
      </w:r>
      <w:r>
        <w:rPr>
          <w:rFonts w:ascii="Arial" w:eastAsia="Calibri" w:hAnsi="Arial" w:cs="Arial"/>
          <w:color w:val="000000"/>
          <w:sz w:val="23"/>
          <w:szCs w:val="23"/>
        </w:rPr>
        <w:t>s</w:t>
      </w:r>
      <w:r w:rsidRPr="00505146">
        <w:rPr>
          <w:rFonts w:ascii="Arial" w:eastAsia="Calibri" w:hAnsi="Arial" w:cs="Arial"/>
          <w:color w:val="000000"/>
          <w:sz w:val="23"/>
          <w:szCs w:val="23"/>
        </w:rPr>
        <w:t xml:space="preserve"> </w:t>
      </w:r>
      <w:r>
        <w:rPr>
          <w:rFonts w:ascii="Arial" w:eastAsia="Calibri" w:hAnsi="Arial" w:cs="Arial"/>
          <w:sz w:val="23"/>
          <w:szCs w:val="23"/>
        </w:rPr>
        <w:t>OP/DG/3009/2016</w:t>
      </w:r>
      <w:r w:rsidRPr="00505146">
        <w:rPr>
          <w:rFonts w:ascii="Arial" w:eastAsia="Calibri" w:hAnsi="Arial" w:cs="Arial"/>
          <w:sz w:val="23"/>
          <w:szCs w:val="23"/>
        </w:rPr>
        <w:t xml:space="preserve">, de fecha </w:t>
      </w:r>
      <w:r>
        <w:rPr>
          <w:rFonts w:ascii="Arial" w:eastAsia="Calibri" w:hAnsi="Arial" w:cs="Arial"/>
          <w:sz w:val="23"/>
          <w:szCs w:val="23"/>
        </w:rPr>
        <w:t>veinti</w:t>
      </w:r>
      <w:r w:rsidRPr="00505146">
        <w:rPr>
          <w:rFonts w:ascii="Arial" w:eastAsia="Calibri" w:hAnsi="Arial" w:cs="Arial"/>
          <w:sz w:val="23"/>
          <w:szCs w:val="23"/>
        </w:rPr>
        <w:t>trés</w:t>
      </w:r>
      <w:r>
        <w:rPr>
          <w:rFonts w:ascii="Arial" w:eastAsia="Calibri" w:hAnsi="Arial" w:cs="Arial"/>
          <w:sz w:val="23"/>
          <w:szCs w:val="23"/>
        </w:rPr>
        <w:t xml:space="preserve"> de diciembre de dos mil dieciséis</w:t>
      </w:r>
      <w:r w:rsidRPr="00505146">
        <w:rPr>
          <w:rFonts w:ascii="Arial" w:eastAsia="Calibri" w:hAnsi="Arial" w:cs="Arial"/>
          <w:sz w:val="23"/>
          <w:szCs w:val="23"/>
        </w:rPr>
        <w:t xml:space="preserve">, </w:t>
      </w:r>
      <w:r>
        <w:rPr>
          <w:rFonts w:ascii="Arial" w:eastAsia="Calibri" w:hAnsi="Arial" w:cs="Arial"/>
          <w:sz w:val="23"/>
          <w:szCs w:val="23"/>
        </w:rPr>
        <w:t xml:space="preserve">y OP/DG/1860/14, de fecha veintiséis de septiembre de dos mil catorce, </w:t>
      </w:r>
      <w:r w:rsidRPr="00505146">
        <w:rPr>
          <w:rFonts w:ascii="Arial" w:eastAsia="Calibri" w:hAnsi="Arial" w:cs="Arial"/>
          <w:sz w:val="23"/>
          <w:szCs w:val="23"/>
        </w:rPr>
        <w:t>suscrito</w:t>
      </w:r>
      <w:r>
        <w:rPr>
          <w:rFonts w:ascii="Arial" w:eastAsia="Calibri" w:hAnsi="Arial" w:cs="Arial"/>
          <w:sz w:val="23"/>
          <w:szCs w:val="23"/>
        </w:rPr>
        <w:t>s</w:t>
      </w:r>
      <w:r w:rsidRPr="00505146">
        <w:rPr>
          <w:rFonts w:ascii="Arial" w:eastAsia="Calibri" w:hAnsi="Arial" w:cs="Arial"/>
          <w:sz w:val="23"/>
          <w:szCs w:val="23"/>
        </w:rPr>
        <w:t xml:space="preserve"> por el Director General de la Oficina de Pensiones</w:t>
      </w:r>
      <w:r>
        <w:rPr>
          <w:rFonts w:ascii="Arial" w:eastAsia="Calibri" w:hAnsi="Arial" w:cs="Arial"/>
          <w:sz w:val="23"/>
          <w:szCs w:val="23"/>
        </w:rPr>
        <w:t xml:space="preserve"> del Estado</w:t>
      </w:r>
      <w:r w:rsidRPr="00505146">
        <w:rPr>
          <w:rFonts w:ascii="Arial" w:eastAsia="Calibri" w:hAnsi="Arial" w:cs="Arial"/>
          <w:sz w:val="23"/>
          <w:szCs w:val="23"/>
        </w:rPr>
        <w:t xml:space="preserve">, </w:t>
      </w:r>
      <w:r>
        <w:rPr>
          <w:rFonts w:ascii="Arial" w:eastAsia="Calibri" w:hAnsi="Arial" w:cs="Arial"/>
          <w:sz w:val="23"/>
          <w:szCs w:val="23"/>
        </w:rPr>
        <w:t xml:space="preserve">y en razón </w:t>
      </w:r>
      <w:r w:rsidRPr="00164EC5">
        <w:rPr>
          <w:rFonts w:ascii="Arial" w:eastAsia="Calibri" w:hAnsi="Arial" w:cs="Arial"/>
          <w:sz w:val="23"/>
          <w:szCs w:val="23"/>
        </w:rPr>
        <w:t>que la autoridad demanda acepto haber</w:t>
      </w:r>
      <w:r>
        <w:rPr>
          <w:rFonts w:ascii="Arial" w:eastAsia="Calibri" w:hAnsi="Arial" w:cs="Arial"/>
          <w:sz w:val="23"/>
          <w:szCs w:val="23"/>
        </w:rPr>
        <w:t>los</w:t>
      </w:r>
      <w:r w:rsidRPr="00164EC5">
        <w:rPr>
          <w:rFonts w:ascii="Arial" w:eastAsia="Calibri" w:hAnsi="Arial" w:cs="Arial"/>
          <w:sz w:val="23"/>
          <w:szCs w:val="23"/>
        </w:rPr>
        <w:t xml:space="preserve"> emitido</w:t>
      </w:r>
      <w:r>
        <w:rPr>
          <w:rFonts w:ascii="Arial" w:eastAsia="Calibri" w:hAnsi="Arial" w:cs="Arial"/>
          <w:sz w:val="23"/>
          <w:szCs w:val="23"/>
        </w:rPr>
        <w:t xml:space="preserve">s, </w:t>
      </w:r>
      <w:r w:rsidRPr="00164EC5">
        <w:rPr>
          <w:rFonts w:ascii="Arial" w:eastAsia="Calibri" w:hAnsi="Arial" w:cs="Arial"/>
          <w:sz w:val="23"/>
          <w:szCs w:val="23"/>
        </w:rPr>
        <w:t>se tiene por acreditado</w:t>
      </w:r>
      <w:r>
        <w:rPr>
          <w:rFonts w:ascii="Arial" w:eastAsia="Calibri" w:hAnsi="Arial" w:cs="Arial"/>
          <w:sz w:val="23"/>
          <w:szCs w:val="23"/>
        </w:rPr>
        <w:t xml:space="preserve">s </w:t>
      </w:r>
      <w:r w:rsidRPr="00164EC5">
        <w:rPr>
          <w:rFonts w:ascii="Arial" w:eastAsia="Calibri" w:hAnsi="Arial" w:cs="Arial"/>
          <w:sz w:val="23"/>
          <w:szCs w:val="23"/>
        </w:rPr>
        <w:t>l</w:t>
      </w:r>
      <w:r>
        <w:rPr>
          <w:rFonts w:ascii="Arial" w:eastAsia="Calibri" w:hAnsi="Arial" w:cs="Arial"/>
          <w:sz w:val="23"/>
          <w:szCs w:val="23"/>
        </w:rPr>
        <w:t>os</w:t>
      </w:r>
      <w:r w:rsidRPr="00164EC5">
        <w:rPr>
          <w:rFonts w:ascii="Arial" w:eastAsia="Calibri" w:hAnsi="Arial" w:cs="Arial"/>
          <w:sz w:val="23"/>
          <w:szCs w:val="23"/>
        </w:rPr>
        <w:t xml:space="preserve"> acto</w:t>
      </w:r>
      <w:r>
        <w:rPr>
          <w:rFonts w:ascii="Arial" w:eastAsia="Calibri" w:hAnsi="Arial" w:cs="Arial"/>
          <w:sz w:val="23"/>
          <w:szCs w:val="23"/>
        </w:rPr>
        <w:t>s</w:t>
      </w:r>
      <w:r w:rsidRPr="00164EC5">
        <w:rPr>
          <w:rFonts w:ascii="Arial" w:eastAsia="Calibri" w:hAnsi="Arial" w:cs="Arial"/>
          <w:sz w:val="23"/>
          <w:szCs w:val="23"/>
        </w:rPr>
        <w:t xml:space="preserve"> impugnado</w:t>
      </w:r>
      <w:r>
        <w:rPr>
          <w:rFonts w:ascii="Arial" w:eastAsia="Calibri" w:hAnsi="Arial" w:cs="Arial"/>
          <w:sz w:val="23"/>
          <w:szCs w:val="23"/>
        </w:rPr>
        <w:t>s</w:t>
      </w:r>
      <w:r w:rsidRPr="00164EC5">
        <w:rPr>
          <w:rFonts w:ascii="Arial" w:eastAsia="Calibri" w:hAnsi="Arial" w:cs="Arial"/>
          <w:sz w:val="23"/>
          <w:szCs w:val="23"/>
        </w:rPr>
        <w:t>.</w:t>
      </w:r>
    </w:p>
    <w:p w:rsidR="00D16F90" w:rsidRPr="00CD5055" w:rsidRDefault="00D16F90" w:rsidP="00D16F90">
      <w:pPr>
        <w:spacing w:before="240" w:line="360" w:lineRule="auto"/>
        <w:ind w:firstLine="567"/>
        <w:jc w:val="both"/>
        <w:rPr>
          <w:rFonts w:ascii="Arial" w:eastAsia="Calibri" w:hAnsi="Arial" w:cs="Arial"/>
          <w:sz w:val="23"/>
          <w:szCs w:val="23"/>
        </w:rPr>
      </w:pPr>
      <w:r>
        <w:rPr>
          <w:rFonts w:ascii="Arial" w:eastAsia="Calibri" w:hAnsi="Arial" w:cs="Arial"/>
          <w:b/>
          <w:sz w:val="23"/>
          <w:szCs w:val="23"/>
        </w:rPr>
        <w:t>QUINTO.</w:t>
      </w:r>
      <w:r w:rsidRPr="00505146">
        <w:rPr>
          <w:rFonts w:ascii="Arial" w:eastAsia="Calibri" w:hAnsi="Arial" w:cs="Arial"/>
          <w:b/>
          <w:sz w:val="23"/>
          <w:szCs w:val="23"/>
        </w:rPr>
        <w:t xml:space="preserve"> Causales de </w:t>
      </w:r>
      <w:r>
        <w:rPr>
          <w:rFonts w:ascii="Arial" w:eastAsia="Calibri" w:hAnsi="Arial" w:cs="Arial"/>
          <w:b/>
          <w:sz w:val="23"/>
          <w:szCs w:val="23"/>
        </w:rPr>
        <w:t xml:space="preserve">improcedencia y sobreseimiento.- </w:t>
      </w:r>
      <w:r>
        <w:rPr>
          <w:rFonts w:ascii="Arial" w:eastAsia="Calibri" w:hAnsi="Arial" w:cs="Arial"/>
          <w:color w:val="000000"/>
          <w:sz w:val="23"/>
          <w:szCs w:val="23"/>
        </w:rPr>
        <w:t>N</w:t>
      </w:r>
      <w:r w:rsidRPr="00505146">
        <w:rPr>
          <w:rFonts w:ascii="Arial" w:eastAsia="Calibri" w:hAnsi="Arial" w:cs="Arial"/>
          <w:color w:val="000000"/>
          <w:sz w:val="23"/>
          <w:szCs w:val="23"/>
        </w:rPr>
        <w:t>o se acredita ninguna causal de improcedencia y sobreseimiento</w:t>
      </w:r>
      <w:r w:rsidRPr="00505146">
        <w:rPr>
          <w:rFonts w:ascii="Arial" w:eastAsia="Calibri" w:hAnsi="Arial" w:cs="Arial"/>
          <w:b/>
          <w:color w:val="000000"/>
          <w:sz w:val="23"/>
          <w:szCs w:val="23"/>
        </w:rPr>
        <w:t xml:space="preserve"> </w:t>
      </w:r>
      <w:r w:rsidRPr="00505146">
        <w:rPr>
          <w:rFonts w:ascii="Arial" w:eastAsia="Calibri" w:hAnsi="Arial" w:cs="Arial"/>
          <w:color w:val="000000"/>
          <w:sz w:val="23"/>
          <w:szCs w:val="23"/>
        </w:rPr>
        <w:t xml:space="preserve">que se tengan que hacer valer, en atención a que su estudio es de orden público y preferente a cualquier otra cuestión, porque aún de oficio deben ser examinadas, pues </w:t>
      </w:r>
      <w:r w:rsidRPr="00505146">
        <w:rPr>
          <w:rFonts w:ascii="Arial" w:eastAsia="Calibri" w:hAnsi="Arial" w:cs="Arial"/>
          <w:bCs/>
          <w:sz w:val="23"/>
          <w:szCs w:val="23"/>
        </w:rPr>
        <w:t>de actualizarse alguna de las hipótesis normativas, surge un impedimento para resolver el fondo del asunto, que obliga a decretar el sobreseimiento, como se estab</w:t>
      </w:r>
      <w:r>
        <w:rPr>
          <w:rFonts w:ascii="Arial" w:eastAsia="Calibri" w:hAnsi="Arial" w:cs="Arial"/>
          <w:bCs/>
          <w:sz w:val="23"/>
          <w:szCs w:val="23"/>
        </w:rPr>
        <w:t>lece en los artículos 161 y 162;</w:t>
      </w:r>
      <w:r w:rsidRPr="00505146">
        <w:rPr>
          <w:rFonts w:ascii="Arial" w:eastAsia="Calibri" w:hAnsi="Arial" w:cs="Arial"/>
          <w:bCs/>
          <w:sz w:val="23"/>
          <w:szCs w:val="23"/>
        </w:rPr>
        <w:t xml:space="preserve"> de la ley de la materia.</w:t>
      </w:r>
      <w:r w:rsidRPr="00505146">
        <w:rPr>
          <w:rFonts w:ascii="Arial" w:eastAsia="Calibri" w:hAnsi="Arial" w:cs="Arial"/>
          <w:color w:val="000000"/>
          <w:sz w:val="23"/>
          <w:szCs w:val="23"/>
        </w:rPr>
        <w:t xml:space="preserve"> </w:t>
      </w:r>
      <w:r w:rsidRPr="00505146">
        <w:rPr>
          <w:rFonts w:ascii="Arial" w:eastAsia="Calibri" w:hAnsi="Arial" w:cs="Arial"/>
          <w:sz w:val="23"/>
          <w:szCs w:val="23"/>
        </w:rPr>
        <w:t xml:space="preserve">En consecuencia, al no proceder ninguna causal de improcedencia no sé sobresee. </w:t>
      </w:r>
    </w:p>
    <w:p w:rsidR="00D16F90" w:rsidRPr="00CD73C8" w:rsidRDefault="00D16F90" w:rsidP="00D16F90">
      <w:pPr>
        <w:spacing w:before="240" w:line="360" w:lineRule="auto"/>
        <w:ind w:firstLine="567"/>
        <w:jc w:val="both"/>
        <w:rPr>
          <w:rFonts w:ascii="Arial" w:eastAsia="Calibri" w:hAnsi="Arial" w:cs="Arial"/>
          <w:sz w:val="23"/>
          <w:szCs w:val="23"/>
        </w:rPr>
      </w:pPr>
      <w:r>
        <w:rPr>
          <w:rFonts w:ascii="Arial" w:eastAsia="Calibri" w:hAnsi="Arial" w:cs="Arial"/>
          <w:b/>
          <w:sz w:val="23"/>
          <w:szCs w:val="23"/>
        </w:rPr>
        <w:t>SEXTO</w:t>
      </w:r>
      <w:r w:rsidRPr="00CD73C8">
        <w:rPr>
          <w:rFonts w:ascii="Arial" w:eastAsia="Calibri" w:hAnsi="Arial" w:cs="Arial"/>
          <w:b/>
          <w:sz w:val="23"/>
          <w:szCs w:val="23"/>
        </w:rPr>
        <w:t>. Excepciones y defensas</w:t>
      </w:r>
      <w:r>
        <w:rPr>
          <w:rFonts w:ascii="Arial" w:eastAsia="Calibri" w:hAnsi="Arial" w:cs="Arial"/>
          <w:sz w:val="23"/>
          <w:szCs w:val="23"/>
        </w:rPr>
        <w:t>.-</w:t>
      </w:r>
      <w:r w:rsidRPr="00CD73C8">
        <w:rPr>
          <w:rFonts w:ascii="Arial" w:eastAsia="Calibri" w:hAnsi="Arial" w:cs="Arial"/>
          <w:b/>
          <w:sz w:val="23"/>
          <w:szCs w:val="23"/>
        </w:rPr>
        <w:t xml:space="preserve"> </w:t>
      </w:r>
      <w:r w:rsidRPr="00CD73C8">
        <w:rPr>
          <w:rFonts w:ascii="Arial" w:eastAsia="Calibri" w:hAnsi="Arial" w:cs="Arial"/>
          <w:sz w:val="23"/>
          <w:szCs w:val="23"/>
        </w:rPr>
        <w:t>Considerando que son de orden público y de estudio preferente a cualquier otra cuestión, se analizan las excepciones y defensas opuestas por la autoridad demandada en su escrito de contestación, siendo las siguientes</w:t>
      </w:r>
      <w:r w:rsidRPr="00CD73C8">
        <w:rPr>
          <w:rFonts w:ascii="Arial" w:eastAsia="Calibri" w:hAnsi="Arial" w:cs="Arial"/>
          <w:b/>
          <w:sz w:val="23"/>
          <w:szCs w:val="23"/>
        </w:rPr>
        <w:t xml:space="preserve">: </w:t>
      </w:r>
      <w:r w:rsidRPr="00CD73C8">
        <w:rPr>
          <w:rFonts w:ascii="Arial" w:eastAsia="Calibri" w:hAnsi="Arial" w:cs="Arial"/>
          <w:sz w:val="23"/>
          <w:szCs w:val="23"/>
        </w:rPr>
        <w:t xml:space="preserve">Falta de acción y derecho; y, falsedad de los hechos en se funda la demanda. </w:t>
      </w:r>
    </w:p>
    <w:p w:rsidR="00D16F90" w:rsidRPr="00CD73C8" w:rsidRDefault="00D16F90" w:rsidP="00D16F90">
      <w:pPr>
        <w:spacing w:before="240" w:line="360" w:lineRule="auto"/>
        <w:ind w:firstLine="567"/>
        <w:jc w:val="both"/>
        <w:rPr>
          <w:rFonts w:ascii="Arial" w:eastAsia="Calibri" w:hAnsi="Arial" w:cs="Arial"/>
          <w:sz w:val="23"/>
          <w:szCs w:val="23"/>
        </w:rPr>
      </w:pPr>
      <w:r w:rsidRPr="00CD73C8">
        <w:rPr>
          <w:rFonts w:ascii="Arial" w:eastAsia="Calibri" w:hAnsi="Arial" w:cs="Arial"/>
          <w:sz w:val="23"/>
          <w:szCs w:val="23"/>
        </w:rPr>
        <w:t>En cuanto a la defensa de falta de acción y derecho; se advierte que resulta improcedente, porque del contenido de</w:t>
      </w:r>
      <w:r>
        <w:rPr>
          <w:rFonts w:ascii="Arial" w:eastAsia="Calibri" w:hAnsi="Arial" w:cs="Arial"/>
          <w:sz w:val="23"/>
          <w:szCs w:val="23"/>
        </w:rPr>
        <w:t xml:space="preserve"> </w:t>
      </w:r>
      <w:r w:rsidRPr="00CD73C8">
        <w:rPr>
          <w:rFonts w:ascii="Arial" w:eastAsia="Calibri" w:hAnsi="Arial" w:cs="Arial"/>
          <w:sz w:val="23"/>
          <w:szCs w:val="23"/>
        </w:rPr>
        <w:t>l</w:t>
      </w:r>
      <w:r>
        <w:rPr>
          <w:rFonts w:ascii="Arial" w:eastAsia="Calibri" w:hAnsi="Arial" w:cs="Arial"/>
          <w:sz w:val="23"/>
          <w:szCs w:val="23"/>
        </w:rPr>
        <w:t>os</w:t>
      </w:r>
      <w:r w:rsidRPr="00CD73C8">
        <w:rPr>
          <w:rFonts w:ascii="Arial" w:eastAsia="Calibri" w:hAnsi="Arial" w:cs="Arial"/>
          <w:sz w:val="23"/>
          <w:szCs w:val="23"/>
        </w:rPr>
        <w:t xml:space="preserve"> oficio</w:t>
      </w:r>
      <w:r>
        <w:rPr>
          <w:rFonts w:ascii="Arial" w:eastAsia="Calibri" w:hAnsi="Arial" w:cs="Arial"/>
          <w:sz w:val="23"/>
          <w:szCs w:val="23"/>
        </w:rPr>
        <w:t>s OP/DG/3009/2016, de fecha veintitrés de diciembre de dos mil dieciséis y OP/DG/1860/14 de fecha veintiséis de septiembre de dos mil catorce</w:t>
      </w:r>
      <w:r w:rsidRPr="00CD73C8">
        <w:rPr>
          <w:rFonts w:ascii="Arial" w:eastAsia="Calibri" w:hAnsi="Arial" w:cs="Arial"/>
          <w:sz w:val="23"/>
          <w:szCs w:val="23"/>
        </w:rPr>
        <w:t>, la</w:t>
      </w:r>
      <w:r>
        <w:rPr>
          <w:rFonts w:ascii="Arial" w:eastAsia="Calibri" w:hAnsi="Arial" w:cs="Arial"/>
          <w:sz w:val="23"/>
          <w:szCs w:val="23"/>
        </w:rPr>
        <w:t>s</w:t>
      </w:r>
      <w:r w:rsidRPr="00CD73C8">
        <w:rPr>
          <w:rFonts w:ascii="Arial" w:eastAsia="Calibri" w:hAnsi="Arial" w:cs="Arial"/>
          <w:sz w:val="23"/>
          <w:szCs w:val="23"/>
        </w:rPr>
        <w:t xml:space="preserve"> autoridad</w:t>
      </w:r>
      <w:r>
        <w:rPr>
          <w:rFonts w:ascii="Arial" w:eastAsia="Calibri" w:hAnsi="Arial" w:cs="Arial"/>
          <w:sz w:val="23"/>
          <w:szCs w:val="23"/>
        </w:rPr>
        <w:t>es</w:t>
      </w:r>
      <w:r w:rsidRPr="00CD73C8">
        <w:rPr>
          <w:rFonts w:ascii="Arial" w:eastAsia="Calibri" w:hAnsi="Arial" w:cs="Arial"/>
          <w:sz w:val="23"/>
          <w:szCs w:val="23"/>
        </w:rPr>
        <w:t xml:space="preserve"> demandada</w:t>
      </w:r>
      <w:r>
        <w:rPr>
          <w:rFonts w:ascii="Arial" w:eastAsia="Calibri" w:hAnsi="Arial" w:cs="Arial"/>
          <w:sz w:val="23"/>
          <w:szCs w:val="23"/>
        </w:rPr>
        <w:t>s reconocieron</w:t>
      </w:r>
      <w:r w:rsidRPr="00CD73C8">
        <w:rPr>
          <w:rFonts w:ascii="Arial" w:eastAsia="Calibri" w:hAnsi="Arial" w:cs="Arial"/>
          <w:sz w:val="23"/>
          <w:szCs w:val="23"/>
        </w:rPr>
        <w:t xml:space="preserve"> la personalidad del administrado y con ello, el derecho y la facultad de demandar las determinaciones que afectan su interés jurídico, como se establece en la fracción I inciso a</w:t>
      </w:r>
      <w:r>
        <w:rPr>
          <w:rFonts w:ascii="Arial" w:eastAsia="Calibri" w:hAnsi="Arial" w:cs="Arial"/>
          <w:sz w:val="23"/>
          <w:szCs w:val="23"/>
        </w:rPr>
        <w:t xml:space="preserve">) del artículo 163 de la </w:t>
      </w:r>
      <w:r w:rsidRPr="00CD73C8">
        <w:rPr>
          <w:rFonts w:ascii="Arial" w:eastAsia="Calibri" w:hAnsi="Arial" w:cs="Arial"/>
          <w:sz w:val="23"/>
          <w:szCs w:val="23"/>
        </w:rPr>
        <w:t>Ley</w:t>
      </w:r>
      <w:r>
        <w:rPr>
          <w:rFonts w:ascii="Arial" w:eastAsia="Calibri" w:hAnsi="Arial" w:cs="Arial"/>
          <w:sz w:val="23"/>
          <w:szCs w:val="23"/>
        </w:rPr>
        <w:t xml:space="preserve"> de Procedimiento y Justicia Administrativa del Estado</w:t>
      </w:r>
      <w:r w:rsidRPr="00CD73C8">
        <w:rPr>
          <w:rFonts w:ascii="Arial" w:eastAsia="Calibri" w:hAnsi="Arial" w:cs="Arial"/>
          <w:sz w:val="23"/>
          <w:szCs w:val="23"/>
        </w:rPr>
        <w:t xml:space="preserve">. </w:t>
      </w:r>
    </w:p>
    <w:p w:rsidR="00D16F90" w:rsidRPr="00CD73C8" w:rsidRDefault="00D16F90" w:rsidP="00D16F90">
      <w:pPr>
        <w:spacing w:before="240" w:line="360" w:lineRule="auto"/>
        <w:ind w:firstLine="567"/>
        <w:jc w:val="both"/>
        <w:rPr>
          <w:rFonts w:ascii="Arial" w:eastAsia="Calibri" w:hAnsi="Arial" w:cs="Arial"/>
          <w:sz w:val="23"/>
          <w:szCs w:val="23"/>
        </w:rPr>
      </w:pPr>
      <w:r w:rsidRPr="00CD73C8">
        <w:rPr>
          <w:rFonts w:ascii="Arial" w:eastAsia="Calibri" w:hAnsi="Arial" w:cs="Arial"/>
          <w:sz w:val="23"/>
          <w:szCs w:val="23"/>
        </w:rPr>
        <w:t>Luego entonces, con los datos aquí descritos, se logra establecer que la parte actora, acreditó su interés legítimo y jurídico para comparecer a juicio, conforme a lo descrito en el artículo 164 de la Ley que rige este Tribunal; pues ha acreditado que sus peticiones derivan de la negativa de la</w:t>
      </w:r>
      <w:r>
        <w:rPr>
          <w:rFonts w:ascii="Arial" w:eastAsia="Calibri" w:hAnsi="Arial" w:cs="Arial"/>
          <w:sz w:val="23"/>
          <w:szCs w:val="23"/>
        </w:rPr>
        <w:t>s</w:t>
      </w:r>
      <w:r w:rsidRPr="00CD73C8">
        <w:rPr>
          <w:rFonts w:ascii="Arial" w:eastAsia="Calibri" w:hAnsi="Arial" w:cs="Arial"/>
          <w:sz w:val="23"/>
          <w:szCs w:val="23"/>
        </w:rPr>
        <w:t xml:space="preserve"> autoridad</w:t>
      </w:r>
      <w:r>
        <w:rPr>
          <w:rFonts w:ascii="Arial" w:eastAsia="Calibri" w:hAnsi="Arial" w:cs="Arial"/>
          <w:sz w:val="23"/>
          <w:szCs w:val="23"/>
        </w:rPr>
        <w:t>es</w:t>
      </w:r>
      <w:r w:rsidRPr="00CD73C8">
        <w:rPr>
          <w:rFonts w:ascii="Arial" w:eastAsia="Calibri" w:hAnsi="Arial" w:cs="Arial"/>
          <w:sz w:val="23"/>
          <w:szCs w:val="23"/>
        </w:rPr>
        <w:t xml:space="preserve"> demandada</w:t>
      </w:r>
      <w:r>
        <w:rPr>
          <w:rFonts w:ascii="Arial" w:eastAsia="Calibri" w:hAnsi="Arial" w:cs="Arial"/>
          <w:sz w:val="23"/>
          <w:szCs w:val="23"/>
        </w:rPr>
        <w:t>s</w:t>
      </w:r>
      <w:r w:rsidRPr="00CD73C8">
        <w:rPr>
          <w:rFonts w:ascii="Arial" w:eastAsia="Calibri" w:hAnsi="Arial" w:cs="Arial"/>
          <w:sz w:val="23"/>
          <w:szCs w:val="23"/>
        </w:rPr>
        <w:t xml:space="preserve"> de realizar la devolución de las cuotas del Fondo de Pensiones.</w:t>
      </w:r>
    </w:p>
    <w:p w:rsidR="00D16F90" w:rsidRPr="00D16F90" w:rsidRDefault="00D16F90" w:rsidP="00D16F90">
      <w:pPr>
        <w:spacing w:before="240" w:line="360" w:lineRule="auto"/>
        <w:ind w:firstLine="567"/>
        <w:jc w:val="both"/>
        <w:rPr>
          <w:rFonts w:ascii="Arial" w:eastAsia="Calibri" w:hAnsi="Arial" w:cs="Arial"/>
          <w:sz w:val="23"/>
          <w:szCs w:val="23"/>
        </w:rPr>
      </w:pPr>
      <w:r w:rsidRPr="00CD73C8">
        <w:rPr>
          <w:rFonts w:ascii="Arial" w:eastAsia="Calibri" w:hAnsi="Arial" w:cs="Arial"/>
          <w:sz w:val="23"/>
          <w:szCs w:val="23"/>
        </w:rPr>
        <w:t>Por lo que atañe a la excepción de falsedad de los hechos en que funda la demanda la parte actora, también se advierte que la</w:t>
      </w:r>
      <w:r>
        <w:rPr>
          <w:rFonts w:ascii="Arial" w:eastAsia="Calibri" w:hAnsi="Arial" w:cs="Arial"/>
          <w:sz w:val="23"/>
          <w:szCs w:val="23"/>
        </w:rPr>
        <w:t xml:space="preserve">s </w:t>
      </w:r>
      <w:r w:rsidRPr="00CD73C8">
        <w:rPr>
          <w:rFonts w:ascii="Arial" w:eastAsia="Calibri" w:hAnsi="Arial" w:cs="Arial"/>
          <w:sz w:val="23"/>
          <w:szCs w:val="23"/>
        </w:rPr>
        <w:t>autoridad</w:t>
      </w:r>
      <w:r>
        <w:rPr>
          <w:rFonts w:ascii="Arial" w:eastAsia="Calibri" w:hAnsi="Arial" w:cs="Arial"/>
          <w:sz w:val="23"/>
          <w:szCs w:val="23"/>
        </w:rPr>
        <w:t>es</w:t>
      </w:r>
      <w:r w:rsidRPr="00CD73C8">
        <w:rPr>
          <w:rFonts w:ascii="Arial" w:eastAsia="Calibri" w:hAnsi="Arial" w:cs="Arial"/>
          <w:sz w:val="23"/>
          <w:szCs w:val="23"/>
        </w:rPr>
        <w:t xml:space="preserve"> demandada</w:t>
      </w:r>
      <w:r>
        <w:rPr>
          <w:rFonts w:ascii="Arial" w:eastAsia="Calibri" w:hAnsi="Arial" w:cs="Arial"/>
          <w:sz w:val="23"/>
          <w:szCs w:val="23"/>
        </w:rPr>
        <w:t>s</w:t>
      </w:r>
      <w:r w:rsidRPr="00CD73C8">
        <w:rPr>
          <w:rFonts w:ascii="Arial" w:eastAsia="Calibri" w:hAnsi="Arial" w:cs="Arial"/>
          <w:sz w:val="23"/>
          <w:szCs w:val="23"/>
        </w:rPr>
        <w:t xml:space="preserve"> no </w:t>
      </w:r>
      <w:r>
        <w:rPr>
          <w:rFonts w:ascii="Arial" w:eastAsia="Calibri" w:hAnsi="Arial" w:cs="Arial"/>
          <w:sz w:val="23"/>
          <w:szCs w:val="23"/>
        </w:rPr>
        <w:lastRenderedPageBreak/>
        <w:t>aportaron</w:t>
      </w:r>
      <w:r w:rsidRPr="00CD73C8">
        <w:rPr>
          <w:rFonts w:ascii="Arial" w:eastAsia="Calibri" w:hAnsi="Arial" w:cs="Arial"/>
          <w:sz w:val="23"/>
          <w:szCs w:val="23"/>
        </w:rPr>
        <w:t xml:space="preserve"> prueba alguna que</w:t>
      </w:r>
      <w:r>
        <w:rPr>
          <w:rFonts w:ascii="Arial" w:eastAsia="Calibri" w:hAnsi="Arial" w:cs="Arial"/>
          <w:sz w:val="23"/>
          <w:szCs w:val="23"/>
        </w:rPr>
        <w:t xml:space="preserve"> compruebe que</w:t>
      </w:r>
      <w:r w:rsidRPr="00CD73C8">
        <w:rPr>
          <w:rFonts w:ascii="Arial" w:eastAsia="Calibri" w:hAnsi="Arial" w:cs="Arial"/>
          <w:sz w:val="23"/>
          <w:szCs w:val="23"/>
        </w:rPr>
        <w:t xml:space="preserve"> el </w:t>
      </w:r>
      <w:r>
        <w:rPr>
          <w:rFonts w:ascii="Arial" w:eastAsia="Calibri" w:hAnsi="Arial" w:cs="Arial"/>
          <w:sz w:val="23"/>
          <w:szCs w:val="23"/>
        </w:rPr>
        <w:t>actor</w:t>
      </w:r>
      <w:r w:rsidRPr="00CD73C8">
        <w:rPr>
          <w:rFonts w:ascii="Arial" w:eastAsia="Calibri" w:hAnsi="Arial" w:cs="Arial"/>
          <w:sz w:val="23"/>
          <w:szCs w:val="23"/>
        </w:rPr>
        <w:t xml:space="preserve"> se ha conducido con falsedad, máxime que la carga de la prueba le corresponde a quien opone dicha excepción.</w:t>
      </w:r>
    </w:p>
    <w:p w:rsidR="00D16F90" w:rsidRPr="00CD73C8" w:rsidRDefault="00D16F90" w:rsidP="00D16F90">
      <w:pPr>
        <w:spacing w:before="240" w:line="360" w:lineRule="auto"/>
        <w:ind w:firstLine="567"/>
        <w:jc w:val="both"/>
        <w:rPr>
          <w:rFonts w:ascii="Arial" w:eastAsia="Calibri" w:hAnsi="Arial" w:cs="Arial"/>
          <w:sz w:val="23"/>
          <w:szCs w:val="23"/>
          <w:lang w:val="es-ES_tradnl"/>
        </w:rPr>
      </w:pPr>
      <w:r w:rsidRPr="00CD73C8">
        <w:rPr>
          <w:rFonts w:ascii="Arial" w:eastAsia="Calibri" w:hAnsi="Arial" w:cs="Arial"/>
          <w:sz w:val="23"/>
          <w:szCs w:val="23"/>
          <w:lang w:val="es-ES_tradnl"/>
        </w:rPr>
        <w:t>Por tanto, al no actualizarse excepción o defensa alguna, inclusive causal alguna de improcedencia,</w:t>
      </w:r>
      <w:r w:rsidRPr="00CD73C8">
        <w:rPr>
          <w:rFonts w:ascii="Arial" w:eastAsia="Calibri" w:hAnsi="Arial" w:cs="Arial"/>
          <w:b/>
          <w:sz w:val="23"/>
          <w:szCs w:val="23"/>
          <w:lang w:val="es-ES_tradnl"/>
        </w:rPr>
        <w:t xml:space="preserve"> </w:t>
      </w:r>
      <w:r w:rsidRPr="00CD73C8">
        <w:rPr>
          <w:rFonts w:ascii="Arial" w:eastAsia="Calibri" w:hAnsi="Arial" w:cs="Arial"/>
          <w:sz w:val="23"/>
          <w:szCs w:val="23"/>
          <w:lang w:val="es-ES_tradnl"/>
        </w:rPr>
        <w:t>no se sobresee el juicio.</w:t>
      </w:r>
    </w:p>
    <w:p w:rsidR="00D16F90" w:rsidRPr="00505146" w:rsidRDefault="00D16F90" w:rsidP="00D16F90">
      <w:pPr>
        <w:spacing w:before="240" w:line="360" w:lineRule="auto"/>
        <w:ind w:firstLine="567"/>
        <w:jc w:val="both"/>
        <w:rPr>
          <w:rFonts w:ascii="Arial" w:eastAsia="Calibri" w:hAnsi="Arial" w:cs="Arial"/>
          <w:sz w:val="23"/>
          <w:szCs w:val="23"/>
        </w:rPr>
      </w:pPr>
      <w:r>
        <w:rPr>
          <w:rFonts w:ascii="Arial" w:eastAsia="Calibri" w:hAnsi="Arial" w:cs="Arial"/>
          <w:b/>
          <w:color w:val="000000"/>
          <w:sz w:val="23"/>
          <w:szCs w:val="23"/>
        </w:rPr>
        <w:t>SÉPTIMO. Estudio de f</w:t>
      </w:r>
      <w:r w:rsidRPr="00505146">
        <w:rPr>
          <w:rFonts w:ascii="Arial" w:eastAsia="Calibri" w:hAnsi="Arial" w:cs="Arial"/>
          <w:b/>
          <w:color w:val="000000"/>
          <w:sz w:val="23"/>
          <w:szCs w:val="23"/>
        </w:rPr>
        <w:t xml:space="preserve">ondo. </w:t>
      </w:r>
      <w:r w:rsidRPr="00505146">
        <w:rPr>
          <w:rFonts w:ascii="Arial" w:eastAsia="Calibri" w:hAnsi="Arial" w:cs="Arial"/>
          <w:sz w:val="23"/>
          <w:szCs w:val="23"/>
        </w:rPr>
        <w:t>Previo al estudio de los conceptos de impugnación, es conveniente transcribir los artículos 53 y 54 de la Ley de Pensiones para los Trabajadores del Gobierno del Estado de Oaxaca, citados como fundamento legal en la resolución impugnada, entre otros, precisando que el numeral 54, cuya aplicación se inconforma la accionante, aduciendo que vulnera su derecho humano a la no discriminación:</w:t>
      </w:r>
    </w:p>
    <w:p w:rsidR="00D16F90" w:rsidRPr="00505146" w:rsidRDefault="00D16F90" w:rsidP="00D16F90">
      <w:pPr>
        <w:spacing w:before="240" w:line="360" w:lineRule="auto"/>
        <w:ind w:left="709" w:right="-2"/>
        <w:jc w:val="both"/>
        <w:rPr>
          <w:rFonts w:ascii="Arial" w:eastAsia="Calibri" w:hAnsi="Arial" w:cs="Arial"/>
          <w:i/>
          <w:sz w:val="23"/>
          <w:szCs w:val="23"/>
        </w:rPr>
      </w:pPr>
      <w:r w:rsidRPr="00505146">
        <w:rPr>
          <w:rFonts w:ascii="Arial" w:eastAsia="Calibri" w:hAnsi="Arial" w:cs="Arial"/>
          <w:i/>
          <w:sz w:val="23"/>
          <w:szCs w:val="23"/>
        </w:rPr>
        <w:t>“ARTÍCULO 53. El monto de las pensiones que se concedan, con excepción de las derivadas de riesgos de trabajo, se calculará promediando el sueldo base del último año cotizado como trabajador activo. Las pensiones derivadas de riesgos de trabajo se calculan considerando el sueldo base registrado en la última cotización del trabajador. Todas las pensiones se incrementarán por acuerdo del Consejo Directivo; Dicho incremento será igual al incremento porcentual otorgado al salario base de los trabajadores activos en el año en que se trate”.</w:t>
      </w:r>
    </w:p>
    <w:p w:rsidR="00D16F90" w:rsidRPr="00505146" w:rsidRDefault="00D16F90" w:rsidP="00D16F90">
      <w:pPr>
        <w:spacing w:line="360" w:lineRule="auto"/>
        <w:ind w:left="709" w:right="-2"/>
        <w:jc w:val="both"/>
        <w:rPr>
          <w:rFonts w:ascii="Arial" w:eastAsia="Calibri" w:hAnsi="Arial" w:cs="Arial"/>
          <w:i/>
          <w:sz w:val="23"/>
          <w:szCs w:val="23"/>
        </w:rPr>
      </w:pPr>
      <w:r w:rsidRPr="00505146">
        <w:rPr>
          <w:rFonts w:ascii="Arial" w:eastAsia="Calibri" w:hAnsi="Arial" w:cs="Arial"/>
          <w:i/>
          <w:sz w:val="23"/>
          <w:szCs w:val="23"/>
        </w:rPr>
        <w:t>ARTÍCULO 54. Al monto resultante de la pensión señalada en el artículo anterior, se integrarán las prestaciones siguientes:</w:t>
      </w:r>
    </w:p>
    <w:p w:rsidR="00D16F90" w:rsidRPr="00505146" w:rsidRDefault="00D16F90" w:rsidP="00D16F90">
      <w:pPr>
        <w:spacing w:line="360" w:lineRule="auto"/>
        <w:ind w:left="709" w:right="-2"/>
        <w:jc w:val="both"/>
        <w:rPr>
          <w:rFonts w:ascii="Arial" w:eastAsia="Calibri" w:hAnsi="Arial" w:cs="Arial"/>
          <w:b/>
          <w:i/>
          <w:sz w:val="23"/>
          <w:szCs w:val="23"/>
        </w:rPr>
      </w:pPr>
      <w:r w:rsidRPr="00505146">
        <w:rPr>
          <w:rFonts w:ascii="Arial" w:eastAsia="Calibri" w:hAnsi="Arial" w:cs="Arial"/>
          <w:i/>
          <w:sz w:val="23"/>
          <w:szCs w:val="23"/>
        </w:rPr>
        <w:t xml:space="preserve">I.- Jubilados: tratándose </w:t>
      </w:r>
      <w:r w:rsidRPr="00505146">
        <w:rPr>
          <w:rFonts w:ascii="Arial" w:eastAsia="Calibri" w:hAnsi="Arial" w:cs="Arial"/>
          <w:b/>
          <w:i/>
          <w:sz w:val="23"/>
          <w:szCs w:val="23"/>
        </w:rPr>
        <w:t xml:space="preserve">solo de aquéllos que fueron trabajadores de base se integrarán la previsión social múltiple, despensa, vida cara, quinquenios, aguinaldo, estímulo del día del jubilado, día de las madres y canasta navideña. </w:t>
      </w:r>
    </w:p>
    <w:p w:rsidR="00D16F90" w:rsidRPr="00505146" w:rsidRDefault="00D16F90" w:rsidP="00D16F90">
      <w:pPr>
        <w:spacing w:line="360" w:lineRule="auto"/>
        <w:ind w:left="709" w:right="-2"/>
        <w:jc w:val="both"/>
        <w:rPr>
          <w:rFonts w:ascii="Arial" w:eastAsia="Calibri" w:hAnsi="Arial" w:cs="Arial"/>
          <w:b/>
          <w:i/>
          <w:sz w:val="23"/>
          <w:szCs w:val="23"/>
        </w:rPr>
      </w:pPr>
      <w:r w:rsidRPr="00505146">
        <w:rPr>
          <w:rFonts w:ascii="Arial" w:eastAsia="Calibri" w:hAnsi="Arial" w:cs="Arial"/>
          <w:b/>
          <w:i/>
          <w:sz w:val="23"/>
          <w:szCs w:val="23"/>
        </w:rPr>
        <w:t>El aguinaldo para jubilados será equivalente a 70 días de la cuantía diaria; y</w:t>
      </w:r>
    </w:p>
    <w:p w:rsidR="00D16F90" w:rsidRPr="00505146" w:rsidRDefault="00D16F90" w:rsidP="00D16F90">
      <w:pPr>
        <w:spacing w:line="360" w:lineRule="auto"/>
        <w:ind w:left="709" w:right="-2"/>
        <w:jc w:val="both"/>
        <w:rPr>
          <w:rFonts w:ascii="Arial" w:eastAsia="Calibri" w:hAnsi="Arial" w:cs="Arial"/>
          <w:i/>
          <w:sz w:val="23"/>
          <w:szCs w:val="23"/>
        </w:rPr>
      </w:pPr>
      <w:r w:rsidRPr="00505146">
        <w:rPr>
          <w:rFonts w:ascii="Arial" w:eastAsia="Calibri" w:hAnsi="Arial" w:cs="Arial"/>
          <w:i/>
          <w:sz w:val="23"/>
          <w:szCs w:val="23"/>
        </w:rPr>
        <w:t>II. Pensionados y pensionistas: canasta navideña.</w:t>
      </w:r>
    </w:p>
    <w:p w:rsidR="00D16F90" w:rsidRPr="00505146" w:rsidRDefault="00D16F90" w:rsidP="00D16F90">
      <w:pPr>
        <w:spacing w:line="360" w:lineRule="auto"/>
        <w:ind w:left="709" w:right="-2"/>
        <w:jc w:val="both"/>
        <w:rPr>
          <w:rFonts w:ascii="Arial" w:eastAsia="Calibri" w:hAnsi="Arial" w:cs="Arial"/>
          <w:i/>
          <w:sz w:val="23"/>
          <w:szCs w:val="23"/>
        </w:rPr>
      </w:pPr>
      <w:r w:rsidRPr="00505146">
        <w:rPr>
          <w:rFonts w:ascii="Arial" w:eastAsia="Calibri" w:hAnsi="Arial" w:cs="Arial"/>
          <w:i/>
          <w:sz w:val="23"/>
          <w:szCs w:val="23"/>
        </w:rPr>
        <w:t>Los montos de las prestaciones señaladas en las fracciones anteriores serán determinados por acuerdo del Consejo Directivo, mismos que no deberán ser superiores a los montos que se otorguen a los trabajadores activos.</w:t>
      </w:r>
    </w:p>
    <w:p w:rsidR="00D16F90" w:rsidRDefault="00D16F90" w:rsidP="00D16F90">
      <w:pPr>
        <w:spacing w:line="360" w:lineRule="auto"/>
        <w:ind w:left="709" w:right="-2"/>
        <w:jc w:val="both"/>
        <w:rPr>
          <w:rFonts w:ascii="Arial" w:eastAsia="Calibri" w:hAnsi="Arial" w:cs="Arial"/>
          <w:i/>
          <w:sz w:val="23"/>
          <w:szCs w:val="23"/>
        </w:rPr>
      </w:pPr>
      <w:r w:rsidRPr="00505146">
        <w:rPr>
          <w:rFonts w:ascii="Arial" w:eastAsia="Calibri" w:hAnsi="Arial" w:cs="Arial"/>
          <w:i/>
          <w:sz w:val="23"/>
          <w:szCs w:val="23"/>
        </w:rPr>
        <w:t xml:space="preserve">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w:t>
      </w:r>
    </w:p>
    <w:p w:rsidR="00D16F90" w:rsidRPr="00505146" w:rsidRDefault="00D16F90" w:rsidP="00D16F90">
      <w:pPr>
        <w:spacing w:line="360" w:lineRule="auto"/>
        <w:ind w:left="709" w:right="-2"/>
        <w:jc w:val="both"/>
        <w:rPr>
          <w:rFonts w:ascii="Arial" w:eastAsia="Calibri" w:hAnsi="Arial" w:cs="Arial"/>
          <w:i/>
          <w:sz w:val="23"/>
          <w:szCs w:val="23"/>
        </w:rPr>
      </w:pPr>
    </w:p>
    <w:p w:rsidR="00D16F90" w:rsidRDefault="00D16F90" w:rsidP="00D16F90">
      <w:pPr>
        <w:spacing w:line="360" w:lineRule="auto"/>
        <w:ind w:right="-518" w:firstLine="426"/>
        <w:jc w:val="both"/>
        <w:rPr>
          <w:rFonts w:ascii="Arial" w:eastAsia="Calibri" w:hAnsi="Arial" w:cs="Arial"/>
          <w:sz w:val="23"/>
          <w:szCs w:val="23"/>
        </w:rPr>
      </w:pPr>
      <w:r w:rsidRPr="00505146">
        <w:rPr>
          <w:rFonts w:ascii="Arial" w:eastAsia="Calibri" w:hAnsi="Arial" w:cs="Arial"/>
          <w:sz w:val="23"/>
          <w:szCs w:val="23"/>
        </w:rPr>
        <w:t>C</w:t>
      </w:r>
      <w:r>
        <w:rPr>
          <w:rFonts w:ascii="Arial" w:eastAsia="Calibri" w:hAnsi="Arial" w:cs="Arial"/>
          <w:sz w:val="23"/>
          <w:szCs w:val="23"/>
        </w:rPr>
        <w:t xml:space="preserve">omo se advierte, el artículo 54, antes </w:t>
      </w:r>
      <w:r w:rsidRPr="00505146">
        <w:rPr>
          <w:rFonts w:ascii="Arial" w:eastAsia="Calibri" w:hAnsi="Arial" w:cs="Arial"/>
          <w:sz w:val="23"/>
          <w:szCs w:val="23"/>
        </w:rPr>
        <w:t xml:space="preserve">transcrito, es discriminatorio para los trabajadores jubilados de confianza, porque sólo se refiere a que los trabajadores jubilados de base, tienen las siguientes prestaciones: Previsión social múltiple, despensa, vida cara, quinquenios, aguinaldos, estímulos del día del jubilado, día de las madres y canasta </w:t>
      </w:r>
      <w:r w:rsidRPr="00505146">
        <w:rPr>
          <w:rFonts w:ascii="Arial" w:eastAsia="Calibri" w:hAnsi="Arial" w:cs="Arial"/>
          <w:sz w:val="23"/>
          <w:szCs w:val="23"/>
        </w:rPr>
        <w:lastRenderedPageBreak/>
        <w:t>navideña, el aguinaldo para jubilados será equivalente a setenta días de la cuantía diaria y a canasta navideña; por tanto, ante la existencia de un acto discriminatorio, resulta violario del artículo 1º de la Constitución Política de los Estados Unidos Mexicanos.</w:t>
      </w:r>
    </w:p>
    <w:p w:rsidR="00D16F90" w:rsidRPr="00505146" w:rsidRDefault="00D16F90" w:rsidP="00D16F90">
      <w:pPr>
        <w:spacing w:line="360" w:lineRule="auto"/>
        <w:ind w:right="-518" w:firstLine="426"/>
        <w:jc w:val="both"/>
        <w:rPr>
          <w:rFonts w:ascii="Arial" w:eastAsia="Calibri" w:hAnsi="Arial" w:cs="Arial"/>
          <w:sz w:val="23"/>
          <w:szCs w:val="23"/>
        </w:rPr>
      </w:pPr>
    </w:p>
    <w:p w:rsidR="00D16F90" w:rsidRDefault="00D16F90" w:rsidP="00D16F90">
      <w:pPr>
        <w:spacing w:line="360" w:lineRule="auto"/>
        <w:ind w:right="-518" w:firstLine="426"/>
        <w:jc w:val="both"/>
        <w:rPr>
          <w:rFonts w:ascii="Arial" w:eastAsia="Calibri" w:hAnsi="Arial" w:cs="Arial"/>
          <w:sz w:val="23"/>
          <w:szCs w:val="23"/>
        </w:rPr>
      </w:pPr>
      <w:r w:rsidRPr="00505146">
        <w:rPr>
          <w:rFonts w:ascii="Arial" w:eastAsia="Calibri" w:hAnsi="Arial" w:cs="Arial"/>
          <w:sz w:val="23"/>
          <w:szCs w:val="23"/>
        </w:rPr>
        <w:t>El concepto de discriminación, tiene un contenido más específico y se refiere a la llamada tutela antidiscriminatoria, que impone una paridad de trato, evitando o suprimiendo ciertas diferencias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 no sólo desventajosas sino contrarias a la dignidad de la persona.</w:t>
      </w:r>
    </w:p>
    <w:p w:rsidR="00D16F90" w:rsidRPr="00505146" w:rsidRDefault="00D16F90" w:rsidP="00D16F90">
      <w:pPr>
        <w:spacing w:line="360" w:lineRule="auto"/>
        <w:ind w:right="-518" w:firstLine="426"/>
        <w:jc w:val="both"/>
        <w:rPr>
          <w:rFonts w:ascii="Arial" w:eastAsia="Calibri" w:hAnsi="Arial" w:cs="Arial"/>
          <w:sz w:val="23"/>
          <w:szCs w:val="23"/>
        </w:rPr>
      </w:pPr>
    </w:p>
    <w:p w:rsidR="00D16F90" w:rsidRPr="00505146" w:rsidRDefault="00D16F90" w:rsidP="00D16F90">
      <w:pPr>
        <w:spacing w:line="360" w:lineRule="auto"/>
        <w:ind w:right="-518" w:firstLine="426"/>
        <w:jc w:val="both"/>
        <w:rPr>
          <w:rFonts w:ascii="Arial" w:eastAsia="Calibri" w:hAnsi="Arial" w:cs="Arial"/>
          <w:sz w:val="23"/>
          <w:szCs w:val="23"/>
        </w:rPr>
      </w:pPr>
      <w:r>
        <w:rPr>
          <w:rFonts w:ascii="Arial" w:eastAsia="Calibri" w:hAnsi="Arial" w:cs="Arial"/>
          <w:sz w:val="23"/>
          <w:szCs w:val="23"/>
        </w:rPr>
        <w:t xml:space="preserve">En ese tenor, el artículo </w:t>
      </w:r>
      <w:r w:rsidRPr="007E2994">
        <w:rPr>
          <w:rFonts w:ascii="Arial" w:eastAsia="Calibri" w:hAnsi="Arial" w:cs="Arial"/>
          <w:sz w:val="23"/>
          <w:szCs w:val="23"/>
        </w:rPr>
        <w:t xml:space="preserve">1º </w:t>
      </w:r>
      <w:r w:rsidRPr="00505146">
        <w:rPr>
          <w:rFonts w:ascii="Arial" w:eastAsia="Calibri" w:hAnsi="Arial" w:cs="Arial"/>
          <w:sz w:val="23"/>
          <w:szCs w:val="23"/>
        </w:rPr>
        <w:t xml:space="preserve"> de la Constitución Federal</w:t>
      </w:r>
      <w:r>
        <w:rPr>
          <w:rFonts w:ascii="Arial" w:eastAsia="Calibri" w:hAnsi="Arial" w:cs="Arial"/>
          <w:sz w:val="23"/>
          <w:szCs w:val="23"/>
        </w:rPr>
        <w:t>,</w:t>
      </w:r>
      <w:r w:rsidRPr="00505146">
        <w:rPr>
          <w:rFonts w:ascii="Arial" w:eastAsia="Calibri" w:hAnsi="Arial" w:cs="Arial"/>
          <w:sz w:val="23"/>
          <w:szCs w:val="23"/>
        </w:rPr>
        <w:t xml:space="preserve"> señala:</w:t>
      </w:r>
    </w:p>
    <w:p w:rsidR="00D16F90" w:rsidRPr="00505146" w:rsidRDefault="00D16F90" w:rsidP="00D16F90">
      <w:pPr>
        <w:spacing w:line="360" w:lineRule="auto"/>
        <w:ind w:left="567" w:right="-2"/>
        <w:jc w:val="both"/>
        <w:rPr>
          <w:rFonts w:ascii="Arial" w:eastAsia="Calibri" w:hAnsi="Arial" w:cs="Arial"/>
          <w:i/>
          <w:sz w:val="23"/>
          <w:szCs w:val="23"/>
        </w:rPr>
      </w:pPr>
      <w:r w:rsidRPr="00505146">
        <w:rPr>
          <w:rFonts w:ascii="Arial" w:eastAsia="Calibri" w:hAnsi="Arial" w:cs="Arial"/>
          <w:i/>
          <w:sz w:val="23"/>
          <w:szCs w:val="23"/>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D16F90" w:rsidRPr="00505146" w:rsidRDefault="00D16F90" w:rsidP="00D16F90">
      <w:pPr>
        <w:spacing w:line="360" w:lineRule="auto"/>
        <w:ind w:left="567" w:right="-2"/>
        <w:jc w:val="both"/>
        <w:rPr>
          <w:rFonts w:ascii="Arial" w:eastAsia="Calibri" w:hAnsi="Arial" w:cs="Arial"/>
          <w:i/>
          <w:sz w:val="23"/>
          <w:szCs w:val="23"/>
        </w:rPr>
      </w:pPr>
      <w:r w:rsidRPr="00505146">
        <w:rPr>
          <w:rFonts w:ascii="Arial" w:eastAsia="Calibri" w:hAnsi="Arial" w:cs="Arial"/>
          <w:i/>
          <w:sz w:val="23"/>
          <w:szCs w:val="23"/>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D16F90" w:rsidRDefault="00D16F90" w:rsidP="00D16F90">
      <w:pPr>
        <w:spacing w:line="360" w:lineRule="auto"/>
        <w:ind w:left="567" w:right="-2"/>
        <w:jc w:val="both"/>
        <w:rPr>
          <w:rFonts w:ascii="Arial" w:eastAsia="Calibri" w:hAnsi="Arial" w:cs="Arial"/>
          <w:i/>
          <w:sz w:val="23"/>
          <w:szCs w:val="23"/>
        </w:rPr>
      </w:pPr>
      <w:r w:rsidRPr="00505146">
        <w:rPr>
          <w:rFonts w:ascii="Arial" w:eastAsia="Calibri" w:hAnsi="Arial" w:cs="Arial"/>
          <w:i/>
          <w:sz w:val="23"/>
          <w:szCs w:val="23"/>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16F90" w:rsidRPr="007E2994" w:rsidRDefault="00D16F90" w:rsidP="00D16F90">
      <w:pPr>
        <w:spacing w:line="360" w:lineRule="auto"/>
        <w:ind w:right="-2" w:firstLine="567"/>
        <w:jc w:val="both"/>
        <w:rPr>
          <w:rFonts w:ascii="Arial" w:eastAsia="Calibri" w:hAnsi="Arial" w:cs="Arial"/>
          <w:sz w:val="23"/>
          <w:szCs w:val="23"/>
        </w:rPr>
      </w:pPr>
      <w:r>
        <w:rPr>
          <w:rFonts w:ascii="Arial" w:eastAsia="Calibri" w:hAnsi="Arial" w:cs="Arial"/>
          <w:sz w:val="23"/>
          <w:szCs w:val="23"/>
        </w:rPr>
        <w:t xml:space="preserve">Así también, el artículo 133 de la Constitución Política de los Estados Unidos Mexicanos establece:   </w:t>
      </w:r>
    </w:p>
    <w:p w:rsidR="00D16F90" w:rsidRPr="00505146" w:rsidRDefault="00D16F90" w:rsidP="00D16F90">
      <w:pPr>
        <w:spacing w:line="360" w:lineRule="auto"/>
        <w:ind w:left="567" w:right="-2"/>
        <w:jc w:val="both"/>
        <w:rPr>
          <w:rFonts w:ascii="Arial" w:eastAsia="Calibri" w:hAnsi="Arial" w:cs="Arial"/>
          <w:i/>
          <w:sz w:val="23"/>
          <w:szCs w:val="23"/>
        </w:rPr>
      </w:pPr>
      <w:r w:rsidRPr="00505146">
        <w:rPr>
          <w:rFonts w:ascii="Arial" w:eastAsia="Calibri" w:hAnsi="Arial" w:cs="Arial"/>
          <w:i/>
          <w:sz w:val="23"/>
          <w:szCs w:val="23"/>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D16F90" w:rsidRDefault="00D16F90" w:rsidP="00D16F90">
      <w:pPr>
        <w:spacing w:line="360" w:lineRule="auto"/>
        <w:ind w:right="-518" w:firstLine="426"/>
        <w:jc w:val="both"/>
        <w:rPr>
          <w:rFonts w:ascii="Arial" w:eastAsia="Calibri" w:hAnsi="Arial" w:cs="Arial"/>
          <w:sz w:val="23"/>
          <w:szCs w:val="23"/>
        </w:rPr>
      </w:pPr>
      <w:r w:rsidRPr="00505146">
        <w:rPr>
          <w:rFonts w:ascii="Arial" w:eastAsia="Calibri" w:hAnsi="Arial" w:cs="Arial"/>
          <w:sz w:val="23"/>
          <w:szCs w:val="23"/>
        </w:rPr>
        <w:lastRenderedPageBreak/>
        <w:t>De lo anterior, el artículo 1° de la Constitución Política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D16F90" w:rsidRPr="00505146" w:rsidRDefault="00D16F90" w:rsidP="00D16F90">
      <w:pPr>
        <w:spacing w:line="360" w:lineRule="auto"/>
        <w:ind w:right="-518" w:firstLine="426"/>
        <w:jc w:val="both"/>
        <w:rPr>
          <w:rFonts w:ascii="Arial" w:eastAsia="Calibri" w:hAnsi="Arial" w:cs="Arial"/>
          <w:sz w:val="23"/>
          <w:szCs w:val="23"/>
        </w:rPr>
      </w:pPr>
    </w:p>
    <w:p w:rsidR="00D16F90" w:rsidRDefault="00D16F90" w:rsidP="00D16F90">
      <w:pPr>
        <w:spacing w:line="360" w:lineRule="auto"/>
        <w:ind w:right="-518" w:firstLine="426"/>
        <w:jc w:val="both"/>
        <w:rPr>
          <w:rFonts w:ascii="Arial" w:eastAsia="Calibri" w:hAnsi="Arial" w:cs="Arial"/>
          <w:sz w:val="23"/>
          <w:szCs w:val="23"/>
        </w:rPr>
      </w:pPr>
      <w:r w:rsidRPr="00505146">
        <w:rPr>
          <w:rFonts w:ascii="Arial" w:eastAsia="Calibri" w:hAnsi="Arial" w:cs="Arial"/>
          <w:sz w:val="23"/>
          <w:szCs w:val="23"/>
        </w:rPr>
        <w:t xml:space="preserve">Conforme a lo transcrito, si bien en el asunto planteado, el ordenamiento aplicable no establece en forma expresa las prestaciones que reclama la parte actora para los trabajadores jubilados de confianza, también lo es, que sí establece en forma expresa dichas prestaciones para los trabajadores jubilados de base, por lo que al ser pensionados por jubilación, se les deba cubrir respetando las prestaciones a que tienen derecho como trabajadores a fin de evitar un trato discriminatorio y atentar contra su dignidad humana, caso contrario, se les daría un trato distinto, que anula la igualdad de oportunidades y trato, derivado de su trabajo.  </w:t>
      </w:r>
    </w:p>
    <w:p w:rsidR="00D16F90" w:rsidRPr="00505146" w:rsidRDefault="00D16F90" w:rsidP="00D16F90">
      <w:pPr>
        <w:spacing w:line="360" w:lineRule="auto"/>
        <w:ind w:right="-518" w:firstLine="426"/>
        <w:jc w:val="both"/>
        <w:rPr>
          <w:rFonts w:ascii="Arial" w:eastAsia="Calibri" w:hAnsi="Arial" w:cs="Arial"/>
          <w:sz w:val="23"/>
          <w:szCs w:val="23"/>
        </w:rPr>
      </w:pPr>
    </w:p>
    <w:p w:rsidR="00D16F90" w:rsidRPr="00505146" w:rsidRDefault="00D16F90" w:rsidP="00D16F90">
      <w:pPr>
        <w:spacing w:line="360" w:lineRule="auto"/>
        <w:ind w:right="-518" w:firstLine="426"/>
        <w:jc w:val="both"/>
        <w:rPr>
          <w:rFonts w:ascii="Arial" w:eastAsia="Calibri" w:hAnsi="Arial" w:cs="Arial"/>
          <w:sz w:val="23"/>
          <w:szCs w:val="23"/>
        </w:rPr>
      </w:pPr>
      <w:r w:rsidRPr="00505146">
        <w:rPr>
          <w:rFonts w:ascii="Arial" w:eastAsia="Calibri" w:hAnsi="Arial" w:cs="Arial"/>
          <w:sz w:val="23"/>
          <w:szCs w:val="23"/>
        </w:rPr>
        <w:t xml:space="preserve">Como así se encuentra establecida en el </w:t>
      </w:r>
      <w:r w:rsidRPr="00505146">
        <w:rPr>
          <w:rFonts w:ascii="Arial" w:eastAsia="Calibri" w:hAnsi="Arial" w:cs="Arial"/>
          <w:b/>
          <w:sz w:val="23"/>
          <w:szCs w:val="23"/>
        </w:rPr>
        <w:t xml:space="preserve">CONVENIO RELATIVO A LA DISCRIMINACIÓN EN MATERIA DE EMPLEO Y OCUPACIÓN, </w:t>
      </w:r>
      <w:r w:rsidRPr="00505146">
        <w:rPr>
          <w:rFonts w:ascii="Arial" w:eastAsia="Calibri" w:hAnsi="Arial" w:cs="Arial"/>
          <w:sz w:val="23"/>
          <w:szCs w:val="23"/>
        </w:rPr>
        <w:t>que dice:</w:t>
      </w:r>
    </w:p>
    <w:p w:rsidR="00D16F90" w:rsidRPr="00505146" w:rsidRDefault="00D16F90" w:rsidP="00D16F90">
      <w:pPr>
        <w:spacing w:line="360" w:lineRule="auto"/>
        <w:ind w:right="-2" w:firstLine="426"/>
        <w:jc w:val="both"/>
        <w:rPr>
          <w:rFonts w:ascii="Arial" w:eastAsia="Calibri" w:hAnsi="Arial" w:cs="Arial"/>
          <w:b/>
          <w:i/>
          <w:sz w:val="23"/>
          <w:szCs w:val="23"/>
        </w:rPr>
      </w:pPr>
      <w:r w:rsidRPr="00505146">
        <w:rPr>
          <w:rFonts w:ascii="Arial" w:eastAsia="Calibri" w:hAnsi="Arial" w:cs="Arial"/>
          <w:b/>
          <w:i/>
          <w:sz w:val="23"/>
          <w:szCs w:val="23"/>
        </w:rPr>
        <w:t>“Artículo 1</w:t>
      </w:r>
    </w:p>
    <w:p w:rsidR="00D16F90" w:rsidRPr="00505146" w:rsidRDefault="00D16F90" w:rsidP="00D16F90">
      <w:pPr>
        <w:widowControl/>
        <w:numPr>
          <w:ilvl w:val="0"/>
          <w:numId w:val="2"/>
        </w:numPr>
        <w:spacing w:line="360" w:lineRule="auto"/>
        <w:ind w:right="-2"/>
        <w:contextualSpacing/>
        <w:jc w:val="both"/>
        <w:rPr>
          <w:rFonts w:ascii="Arial" w:eastAsia="Calibri" w:hAnsi="Arial" w:cs="Arial"/>
          <w:i/>
          <w:sz w:val="23"/>
          <w:szCs w:val="23"/>
        </w:rPr>
      </w:pPr>
      <w:r w:rsidRPr="00505146">
        <w:rPr>
          <w:rFonts w:ascii="Arial" w:eastAsia="Calibri" w:hAnsi="Arial" w:cs="Arial"/>
          <w:i/>
          <w:sz w:val="23"/>
          <w:szCs w:val="23"/>
        </w:rPr>
        <w:t>A los efectos de este Convenio el término discriminación comprende:</w:t>
      </w:r>
    </w:p>
    <w:p w:rsidR="00D16F90" w:rsidRPr="00505146" w:rsidRDefault="00D16F90" w:rsidP="00D16F90">
      <w:pPr>
        <w:spacing w:after="160" w:line="360" w:lineRule="auto"/>
        <w:ind w:left="786" w:right="-2"/>
        <w:contextualSpacing/>
        <w:jc w:val="both"/>
        <w:rPr>
          <w:rFonts w:ascii="Arial" w:eastAsia="Calibri" w:hAnsi="Arial" w:cs="Arial"/>
          <w:i/>
          <w:sz w:val="23"/>
          <w:szCs w:val="23"/>
        </w:rPr>
      </w:pPr>
      <w:r w:rsidRPr="00505146">
        <w:rPr>
          <w:rFonts w:ascii="Arial" w:eastAsia="Calibri" w:hAnsi="Arial" w:cs="Arial"/>
          <w:i/>
          <w:sz w:val="23"/>
          <w:szCs w:val="23"/>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D16F90" w:rsidRDefault="00D16F90" w:rsidP="00D16F90">
      <w:pPr>
        <w:spacing w:after="160" w:line="360" w:lineRule="auto"/>
        <w:ind w:left="786" w:right="-2"/>
        <w:contextualSpacing/>
        <w:jc w:val="both"/>
        <w:rPr>
          <w:rFonts w:ascii="Arial" w:eastAsia="Calibri" w:hAnsi="Arial" w:cs="Arial"/>
          <w:i/>
          <w:sz w:val="23"/>
          <w:szCs w:val="23"/>
        </w:rPr>
      </w:pPr>
      <w:r w:rsidRPr="00505146">
        <w:rPr>
          <w:rFonts w:ascii="Arial" w:eastAsia="Calibri" w:hAnsi="Arial" w:cs="Arial"/>
          <w:i/>
          <w:sz w:val="23"/>
          <w:szCs w:val="23"/>
        </w:rPr>
        <w:t xml:space="preserve">(b). cualquier otra distinción, exclusión (sic) o preferencia que tenga para efecto anular o alterar la igualdad de oportunidades o de trato en el empleo </w:t>
      </w:r>
      <w:proofErr w:type="spellStart"/>
      <w:r w:rsidRPr="00505146">
        <w:rPr>
          <w:rFonts w:ascii="Arial" w:eastAsia="Calibri" w:hAnsi="Arial" w:cs="Arial"/>
          <w:i/>
          <w:sz w:val="23"/>
          <w:szCs w:val="23"/>
        </w:rPr>
        <w:t>o</w:t>
      </w:r>
      <w:proofErr w:type="spellEnd"/>
      <w:r w:rsidRPr="00505146">
        <w:rPr>
          <w:rFonts w:ascii="Arial" w:eastAsia="Calibri" w:hAnsi="Arial" w:cs="Arial"/>
          <w:i/>
          <w:sz w:val="23"/>
          <w:szCs w:val="23"/>
        </w:rPr>
        <w:t xml:space="preserve"> ocupación…”</w:t>
      </w:r>
    </w:p>
    <w:p w:rsidR="00D16F90" w:rsidRPr="00505146" w:rsidRDefault="00D16F90" w:rsidP="00D16F90">
      <w:pPr>
        <w:spacing w:after="160" w:line="360" w:lineRule="auto"/>
        <w:ind w:left="786" w:right="-2"/>
        <w:contextualSpacing/>
        <w:jc w:val="both"/>
        <w:rPr>
          <w:rFonts w:ascii="Arial" w:eastAsia="Calibri" w:hAnsi="Arial" w:cs="Arial"/>
          <w:i/>
          <w:sz w:val="23"/>
          <w:szCs w:val="23"/>
        </w:rPr>
      </w:pPr>
    </w:p>
    <w:p w:rsidR="00D16F90" w:rsidRDefault="00D16F90" w:rsidP="00D16F90">
      <w:pPr>
        <w:spacing w:line="360" w:lineRule="auto"/>
        <w:ind w:right="-518"/>
        <w:jc w:val="both"/>
        <w:rPr>
          <w:rFonts w:ascii="Arial" w:eastAsia="Calibri" w:hAnsi="Arial" w:cs="Arial"/>
          <w:sz w:val="23"/>
          <w:szCs w:val="23"/>
        </w:rPr>
      </w:pPr>
      <w:r w:rsidRPr="00505146">
        <w:rPr>
          <w:rFonts w:ascii="Arial" w:eastAsia="Calibri" w:hAnsi="Arial" w:cs="Arial"/>
          <w:sz w:val="23"/>
          <w:szCs w:val="23"/>
        </w:rPr>
        <w:tab/>
        <w:t xml:space="preserve">Por tal razón, en estricta aplicación del artículo 1º de la Constitución Federal, a que se encuentra obligado este Juzgador observar,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D16F90" w:rsidRPr="00505146" w:rsidRDefault="00D16F90" w:rsidP="00D16F90">
      <w:pPr>
        <w:spacing w:line="360" w:lineRule="auto"/>
        <w:ind w:right="-518"/>
        <w:jc w:val="both"/>
        <w:rPr>
          <w:rFonts w:ascii="Arial" w:eastAsia="Calibri" w:hAnsi="Arial" w:cs="Arial"/>
          <w:sz w:val="23"/>
          <w:szCs w:val="23"/>
        </w:rPr>
      </w:pPr>
    </w:p>
    <w:p w:rsidR="00D16F90" w:rsidRPr="00505146" w:rsidRDefault="00D16F90" w:rsidP="00D16F90">
      <w:pPr>
        <w:spacing w:line="360" w:lineRule="auto"/>
        <w:ind w:right="-518" w:firstLine="708"/>
        <w:jc w:val="both"/>
        <w:rPr>
          <w:rFonts w:ascii="Arial" w:eastAsia="Calibri" w:hAnsi="Arial" w:cs="Arial"/>
          <w:sz w:val="23"/>
          <w:szCs w:val="23"/>
        </w:rPr>
      </w:pPr>
      <w:r w:rsidRPr="00505146">
        <w:rPr>
          <w:rFonts w:ascii="Arial" w:eastAsia="Calibri" w:hAnsi="Arial" w:cs="Arial"/>
          <w:sz w:val="23"/>
          <w:szCs w:val="23"/>
        </w:rPr>
        <w:t xml:space="preserve">Al respecto, la Suprema Corte de Justicia de la Nación ha establecido que los jueces deben seguir los siguientes pasos tratándose de la interpretación de derechos humanos: </w:t>
      </w:r>
      <w:r w:rsidRPr="00505146">
        <w:rPr>
          <w:rFonts w:ascii="Arial" w:eastAsia="Calibri" w:hAnsi="Arial" w:cs="Arial"/>
          <w:b/>
          <w:sz w:val="23"/>
          <w:szCs w:val="23"/>
        </w:rPr>
        <w:t>1.</w:t>
      </w:r>
      <w:r w:rsidRPr="00505146">
        <w:rPr>
          <w:rFonts w:ascii="Arial" w:eastAsia="Calibri" w:hAnsi="Arial" w:cs="Arial"/>
          <w:sz w:val="23"/>
          <w:szCs w:val="23"/>
        </w:rPr>
        <w:t xml:space="preserve"> Interpretación conforme en sentido amplio (interpretar el orden jurídico a la </w:t>
      </w:r>
      <w:r w:rsidRPr="00505146">
        <w:rPr>
          <w:rFonts w:ascii="Arial" w:eastAsia="Calibri" w:hAnsi="Arial" w:cs="Arial"/>
          <w:sz w:val="23"/>
          <w:szCs w:val="23"/>
        </w:rPr>
        <w:lastRenderedPageBreak/>
        <w:t xml:space="preserve">luz y conforme a los derechos humanos establecidos en la Constitución y en los tratados internacionales, favoreciendo en todo tiempo a las personas la protección más amplia); </w:t>
      </w:r>
      <w:r w:rsidRPr="00505146">
        <w:rPr>
          <w:rFonts w:ascii="Arial" w:eastAsia="Calibri" w:hAnsi="Arial" w:cs="Arial"/>
          <w:b/>
          <w:sz w:val="23"/>
          <w:szCs w:val="23"/>
        </w:rPr>
        <w:t>2.</w:t>
      </w:r>
      <w:r w:rsidRPr="00505146">
        <w:rPr>
          <w:rFonts w:ascii="Arial" w:eastAsia="Calibri" w:hAnsi="Arial" w:cs="Arial"/>
          <w:sz w:val="23"/>
          <w:szCs w:val="23"/>
        </w:rPr>
        <w:t xml:space="preserve">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w:t>
      </w:r>
      <w:r>
        <w:rPr>
          <w:rFonts w:ascii="Arial" w:eastAsia="Calibri" w:hAnsi="Arial" w:cs="Arial"/>
          <w:sz w:val="23"/>
          <w:szCs w:val="23"/>
        </w:rPr>
        <w:t>acionales);</w:t>
      </w:r>
      <w:r w:rsidRPr="00505146">
        <w:rPr>
          <w:rFonts w:ascii="Arial" w:eastAsia="Calibri" w:hAnsi="Arial" w:cs="Arial"/>
          <w:sz w:val="23"/>
          <w:szCs w:val="23"/>
        </w:rPr>
        <w:t xml:space="preserve"> y </w:t>
      </w:r>
      <w:r w:rsidRPr="00505146">
        <w:rPr>
          <w:rFonts w:ascii="Arial" w:eastAsia="Calibri" w:hAnsi="Arial" w:cs="Arial"/>
          <w:b/>
          <w:sz w:val="23"/>
          <w:szCs w:val="23"/>
        </w:rPr>
        <w:t>3.</w:t>
      </w:r>
      <w:r w:rsidRPr="00505146">
        <w:rPr>
          <w:rFonts w:ascii="Arial" w:eastAsia="Calibri" w:hAnsi="Arial" w:cs="Arial"/>
          <w:sz w:val="23"/>
          <w:szCs w:val="23"/>
        </w:rPr>
        <w:t xml:space="preserve">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D16F90" w:rsidRPr="00505146" w:rsidRDefault="00D16F90" w:rsidP="00D16F90">
      <w:pPr>
        <w:tabs>
          <w:tab w:val="left" w:pos="7513"/>
        </w:tabs>
        <w:spacing w:line="360" w:lineRule="auto"/>
        <w:ind w:left="567" w:right="-2"/>
        <w:jc w:val="both"/>
        <w:rPr>
          <w:rFonts w:ascii="Arial" w:eastAsia="Calibri" w:hAnsi="Arial" w:cs="Arial"/>
          <w:i/>
          <w:sz w:val="23"/>
          <w:szCs w:val="23"/>
        </w:rPr>
      </w:pPr>
      <w:r w:rsidRPr="00505146">
        <w:rPr>
          <w:rFonts w:ascii="Arial" w:eastAsia="Calibri" w:hAnsi="Arial" w:cs="Arial"/>
          <w:b/>
          <w:i/>
          <w:sz w:val="23"/>
          <w:szCs w:val="23"/>
        </w:rPr>
        <w:t>“PASOS A SEGUIR EN EL CONTROL DE CONSTITUCIONALIDAD Y CONVENCIONALIDAD EX OFFICIO EN MATERIA DE DERECHOS HUMANOS.</w:t>
      </w:r>
      <w:r w:rsidRPr="00505146">
        <w:rPr>
          <w:rFonts w:ascii="Arial" w:eastAsia="Calibri" w:hAnsi="Arial" w:cs="Arial"/>
          <w:i/>
          <w:sz w:val="23"/>
          <w:szCs w:val="23"/>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505146">
        <w:rPr>
          <w:rFonts w:ascii="Arial" w:eastAsia="Calibri" w:hAnsi="Arial" w:cs="Arial"/>
          <w:i/>
          <w:sz w:val="23"/>
          <w:szCs w:val="23"/>
        </w:rPr>
        <w:t>officio</w:t>
      </w:r>
      <w:proofErr w:type="spellEnd"/>
      <w:r w:rsidRPr="00505146">
        <w:rPr>
          <w:rFonts w:ascii="Arial" w:eastAsia="Calibri" w:hAnsi="Arial" w:cs="Arial"/>
          <w:i/>
          <w:sz w:val="23"/>
          <w:szCs w:val="23"/>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D16F90" w:rsidRPr="00505146" w:rsidRDefault="00D16F90" w:rsidP="00D16F90">
      <w:pPr>
        <w:spacing w:line="360" w:lineRule="auto"/>
        <w:ind w:right="-518" w:firstLine="567"/>
        <w:jc w:val="both"/>
        <w:rPr>
          <w:rFonts w:ascii="Arial" w:eastAsia="Calibri" w:hAnsi="Arial" w:cs="Arial"/>
          <w:sz w:val="23"/>
          <w:szCs w:val="23"/>
        </w:rPr>
      </w:pPr>
      <w:r w:rsidRPr="00505146">
        <w:rPr>
          <w:rFonts w:ascii="Arial" w:eastAsia="Calibri" w:hAnsi="Arial" w:cs="Arial"/>
          <w:sz w:val="23"/>
          <w:szCs w:val="23"/>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D16F90" w:rsidRDefault="00D16F90" w:rsidP="00D16F90">
      <w:pPr>
        <w:spacing w:line="360" w:lineRule="auto"/>
        <w:ind w:left="567" w:right="-2"/>
        <w:jc w:val="both"/>
        <w:rPr>
          <w:rFonts w:ascii="Arial" w:eastAsia="Calibri" w:hAnsi="Arial" w:cs="Arial"/>
          <w:i/>
          <w:sz w:val="23"/>
          <w:szCs w:val="23"/>
        </w:rPr>
      </w:pPr>
      <w:r w:rsidRPr="00505146">
        <w:rPr>
          <w:rFonts w:ascii="Arial" w:eastAsia="Calibri" w:hAnsi="Arial" w:cs="Arial"/>
          <w:b/>
          <w:i/>
          <w:sz w:val="23"/>
          <w:szCs w:val="23"/>
        </w:rPr>
        <w:t xml:space="preserve">“CONTROL DIFUSO DE CONSTITUCIONALIDAD EX OFFICIO. PASOS Y </w:t>
      </w:r>
      <w:r w:rsidRPr="00505146">
        <w:rPr>
          <w:rFonts w:ascii="Arial" w:eastAsia="Calibri" w:hAnsi="Arial" w:cs="Arial"/>
          <w:b/>
          <w:i/>
          <w:sz w:val="23"/>
          <w:szCs w:val="23"/>
        </w:rPr>
        <w:lastRenderedPageBreak/>
        <w:t>ASPECTOS SUSTANTIVOS E INSTRUMENTALES QUE DEBEN OBSERVARSE PARA REALIZARLO.</w:t>
      </w:r>
      <w:r w:rsidRPr="00505146">
        <w:rPr>
          <w:rFonts w:ascii="Arial" w:eastAsia="Calibri" w:hAnsi="Arial" w:cs="Arial"/>
          <w:i/>
          <w:sz w:val="23"/>
          <w:szCs w:val="23"/>
        </w:rPr>
        <w:t xml:space="preserve"> Para realizar el control difuso de constitucionalidad -connotación que incluye el control de convencionalidad- en la modalidad ex </w:t>
      </w:r>
      <w:proofErr w:type="spellStart"/>
      <w:r w:rsidRPr="00505146">
        <w:rPr>
          <w:rFonts w:ascii="Arial" w:eastAsia="Calibri" w:hAnsi="Arial" w:cs="Arial"/>
          <w:i/>
          <w:sz w:val="23"/>
          <w:szCs w:val="23"/>
        </w:rPr>
        <w:t>officio</w:t>
      </w:r>
      <w:proofErr w:type="spellEnd"/>
      <w:r w:rsidRPr="00505146">
        <w:rPr>
          <w:rFonts w:ascii="Arial" w:eastAsia="Calibri" w:hAnsi="Arial" w:cs="Arial"/>
          <w:i/>
          <w:sz w:val="23"/>
          <w:szCs w:val="23"/>
        </w:rPr>
        <w:t xml:space="preserve">, no sólo debe considerarse que se colmen sus requisitos de procedencia y admisibilidad, es decir, sus presupuestos de forma, adjetivos y sustantivos, ya que atento a su naturaleza, regida por el principio </w:t>
      </w:r>
      <w:proofErr w:type="spellStart"/>
      <w:r w:rsidRPr="00505146">
        <w:rPr>
          <w:rFonts w:ascii="Arial" w:eastAsia="Calibri" w:hAnsi="Arial" w:cs="Arial"/>
          <w:i/>
          <w:sz w:val="23"/>
          <w:szCs w:val="23"/>
        </w:rPr>
        <w:t>iura</w:t>
      </w:r>
      <w:proofErr w:type="spellEnd"/>
      <w:r w:rsidRPr="00505146">
        <w:rPr>
          <w:rFonts w:ascii="Arial" w:eastAsia="Calibri" w:hAnsi="Arial" w:cs="Arial"/>
          <w:i/>
          <w:sz w:val="23"/>
          <w:szCs w:val="23"/>
        </w:rPr>
        <w:t xml:space="preserve"> </w:t>
      </w:r>
      <w:proofErr w:type="spellStart"/>
      <w:r w:rsidRPr="00505146">
        <w:rPr>
          <w:rFonts w:ascii="Arial" w:eastAsia="Calibri" w:hAnsi="Arial" w:cs="Arial"/>
          <w:i/>
          <w:sz w:val="23"/>
          <w:szCs w:val="23"/>
        </w:rPr>
        <w:t>novit</w:t>
      </w:r>
      <w:proofErr w:type="spellEnd"/>
      <w:r w:rsidRPr="00505146">
        <w:rPr>
          <w:rFonts w:ascii="Arial" w:eastAsia="Calibri" w:hAnsi="Arial" w:cs="Arial"/>
          <w:i/>
          <w:sz w:val="23"/>
          <w:szCs w:val="23"/>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505146">
        <w:rPr>
          <w:rFonts w:ascii="Arial" w:eastAsia="Calibri" w:hAnsi="Arial" w:cs="Arial"/>
          <w:i/>
          <w:sz w:val="23"/>
          <w:szCs w:val="23"/>
        </w:rPr>
        <w:t>subderecho</w:t>
      </w:r>
      <w:proofErr w:type="spellEnd"/>
      <w:r w:rsidRPr="00505146">
        <w:rPr>
          <w:rFonts w:ascii="Arial" w:eastAsia="Calibri" w:hAnsi="Arial" w:cs="Arial"/>
          <w:i/>
          <w:sz w:val="23"/>
          <w:szCs w:val="23"/>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505146">
        <w:rPr>
          <w:rFonts w:ascii="Arial" w:eastAsia="Calibri" w:hAnsi="Arial" w:cs="Arial"/>
          <w:i/>
          <w:sz w:val="23"/>
          <w:szCs w:val="23"/>
        </w:rPr>
        <w:t>subderecho</w:t>
      </w:r>
      <w:proofErr w:type="spellEnd"/>
      <w:r w:rsidRPr="00505146">
        <w:rPr>
          <w:rFonts w:ascii="Arial" w:eastAsia="Calibri" w:hAnsi="Arial" w:cs="Arial"/>
          <w:i/>
          <w:sz w:val="23"/>
          <w:szCs w:val="23"/>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homine; y, VII. Desaplicarla cuando resulte contradictoria con el derecho humano. Lo anterior sin dejar de observar que en el control difuso de constitucionalidad ex </w:t>
      </w:r>
      <w:proofErr w:type="spellStart"/>
      <w:r w:rsidRPr="00505146">
        <w:rPr>
          <w:rFonts w:ascii="Arial" w:eastAsia="Calibri" w:hAnsi="Arial" w:cs="Arial"/>
          <w:i/>
          <w:sz w:val="23"/>
          <w:szCs w:val="23"/>
        </w:rPr>
        <w:t>officio</w:t>
      </w:r>
      <w:proofErr w:type="spellEnd"/>
      <w:r w:rsidRPr="00505146">
        <w:rPr>
          <w:rFonts w:ascii="Arial" w:eastAsia="Calibri" w:hAnsi="Arial" w:cs="Arial"/>
          <w:i/>
          <w:sz w:val="23"/>
          <w:szCs w:val="23"/>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505146">
        <w:rPr>
          <w:rFonts w:ascii="Arial" w:eastAsia="Calibri" w:hAnsi="Arial" w:cs="Arial"/>
          <w:i/>
          <w:sz w:val="23"/>
          <w:szCs w:val="23"/>
        </w:rPr>
        <w:t>officio</w:t>
      </w:r>
      <w:proofErr w:type="spellEnd"/>
      <w:r w:rsidRPr="00505146">
        <w:rPr>
          <w:rFonts w:ascii="Arial" w:eastAsia="Calibri" w:hAnsi="Arial" w:cs="Arial"/>
          <w:i/>
          <w:sz w:val="23"/>
          <w:szCs w:val="23"/>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D16F90" w:rsidRPr="00505146" w:rsidRDefault="00D16F90" w:rsidP="00D16F90">
      <w:pPr>
        <w:spacing w:line="360" w:lineRule="auto"/>
        <w:ind w:left="567" w:right="-2"/>
        <w:jc w:val="both"/>
        <w:rPr>
          <w:rFonts w:ascii="Arial" w:eastAsia="Calibri" w:hAnsi="Arial" w:cs="Arial"/>
          <w:i/>
          <w:sz w:val="23"/>
          <w:szCs w:val="23"/>
        </w:rPr>
      </w:pPr>
    </w:p>
    <w:p w:rsidR="00D16F90" w:rsidRDefault="00D16F90" w:rsidP="00D16F90">
      <w:pPr>
        <w:spacing w:line="360" w:lineRule="auto"/>
        <w:ind w:right="-518" w:firstLine="567"/>
        <w:jc w:val="both"/>
        <w:rPr>
          <w:rFonts w:ascii="Arial" w:eastAsia="Calibri" w:hAnsi="Arial" w:cs="Arial"/>
          <w:sz w:val="23"/>
          <w:szCs w:val="23"/>
        </w:rPr>
      </w:pPr>
      <w:r w:rsidRPr="00505146">
        <w:rPr>
          <w:rFonts w:ascii="Arial" w:eastAsia="Calibri" w:hAnsi="Arial" w:cs="Arial"/>
          <w:sz w:val="23"/>
          <w:szCs w:val="23"/>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w:t>
      </w:r>
      <w:r w:rsidRPr="00505146">
        <w:rPr>
          <w:rFonts w:ascii="Arial" w:eastAsia="Calibri" w:hAnsi="Arial" w:cs="Arial"/>
          <w:sz w:val="23"/>
          <w:szCs w:val="23"/>
        </w:rPr>
        <w:lastRenderedPageBreak/>
        <w:t>mayor beneficio para la persona, acudiendo a la norma más amplia o a la interpretación extensiva cuando se trata de derechos protegidos, es indudable que</w:t>
      </w:r>
      <w:r>
        <w:rPr>
          <w:rFonts w:ascii="Arial" w:eastAsia="Calibri" w:hAnsi="Arial" w:cs="Arial"/>
          <w:sz w:val="23"/>
          <w:szCs w:val="23"/>
        </w:rPr>
        <w:t xml:space="preserve"> la determinación contenida en </w:t>
      </w:r>
      <w:r w:rsidRPr="00505146">
        <w:rPr>
          <w:rFonts w:ascii="Arial" w:eastAsia="Calibri" w:hAnsi="Arial" w:cs="Arial"/>
          <w:sz w:val="23"/>
          <w:szCs w:val="23"/>
        </w:rPr>
        <w:t>l</w:t>
      </w:r>
      <w:r>
        <w:rPr>
          <w:rFonts w:ascii="Arial" w:eastAsia="Calibri" w:hAnsi="Arial" w:cs="Arial"/>
          <w:sz w:val="23"/>
          <w:szCs w:val="23"/>
        </w:rPr>
        <w:t>os</w:t>
      </w:r>
      <w:r w:rsidRPr="00505146">
        <w:rPr>
          <w:rFonts w:ascii="Arial" w:eastAsia="Calibri" w:hAnsi="Arial" w:cs="Arial"/>
          <w:sz w:val="23"/>
          <w:szCs w:val="23"/>
        </w:rPr>
        <w:t xml:space="preserve"> oficio</w:t>
      </w:r>
      <w:r>
        <w:rPr>
          <w:rFonts w:ascii="Arial" w:eastAsia="Calibri" w:hAnsi="Arial" w:cs="Arial"/>
          <w:sz w:val="23"/>
          <w:szCs w:val="23"/>
        </w:rPr>
        <w:t>s OP/DG/3009/2016</w:t>
      </w:r>
      <w:r w:rsidRPr="00505146">
        <w:rPr>
          <w:rFonts w:ascii="Arial" w:eastAsia="Calibri" w:hAnsi="Arial" w:cs="Arial"/>
          <w:sz w:val="23"/>
          <w:szCs w:val="23"/>
        </w:rPr>
        <w:t xml:space="preserve">, de fecha </w:t>
      </w:r>
      <w:r>
        <w:rPr>
          <w:rFonts w:ascii="Arial" w:eastAsia="Calibri" w:hAnsi="Arial" w:cs="Arial"/>
          <w:sz w:val="23"/>
          <w:szCs w:val="23"/>
        </w:rPr>
        <w:t>veinti</w:t>
      </w:r>
      <w:r w:rsidRPr="00505146">
        <w:rPr>
          <w:rFonts w:ascii="Arial" w:eastAsia="Calibri" w:hAnsi="Arial" w:cs="Arial"/>
          <w:sz w:val="23"/>
          <w:szCs w:val="23"/>
        </w:rPr>
        <w:t xml:space="preserve">trés </w:t>
      </w:r>
      <w:r>
        <w:rPr>
          <w:rFonts w:ascii="Arial" w:eastAsia="Calibri" w:hAnsi="Arial" w:cs="Arial"/>
          <w:sz w:val="23"/>
          <w:szCs w:val="23"/>
        </w:rPr>
        <w:t>de diciembre de dos mil dieciséis</w:t>
      </w:r>
      <w:r w:rsidRPr="00505146">
        <w:rPr>
          <w:rFonts w:ascii="Arial" w:eastAsia="Calibri" w:hAnsi="Arial" w:cs="Arial"/>
          <w:sz w:val="23"/>
          <w:szCs w:val="23"/>
        </w:rPr>
        <w:t>,</w:t>
      </w:r>
      <w:r>
        <w:rPr>
          <w:rFonts w:ascii="Arial" w:eastAsia="Calibri" w:hAnsi="Arial" w:cs="Arial"/>
          <w:sz w:val="23"/>
          <w:szCs w:val="23"/>
        </w:rPr>
        <w:t xml:space="preserve"> y OP/DG/1860/14, de fecha veintiséis de septiembre de dos mil catorce,</w:t>
      </w:r>
      <w:r w:rsidRPr="00505146">
        <w:rPr>
          <w:rFonts w:ascii="Arial" w:eastAsia="Calibri" w:hAnsi="Arial" w:cs="Arial"/>
          <w:sz w:val="23"/>
          <w:szCs w:val="23"/>
        </w:rPr>
        <w:t xml:space="preserve"> emitido</w:t>
      </w:r>
      <w:r>
        <w:rPr>
          <w:rFonts w:ascii="Arial" w:eastAsia="Calibri" w:hAnsi="Arial" w:cs="Arial"/>
          <w:sz w:val="23"/>
          <w:szCs w:val="23"/>
        </w:rPr>
        <w:t>s</w:t>
      </w:r>
      <w:r w:rsidRPr="00505146">
        <w:rPr>
          <w:rFonts w:ascii="Arial" w:eastAsia="Calibri" w:hAnsi="Arial" w:cs="Arial"/>
          <w:sz w:val="23"/>
          <w:szCs w:val="23"/>
        </w:rPr>
        <w:t xml:space="preserve"> por el Director General de la Oficina de Pensiones del Gobierno del Estado, al ejecutar el acuerdo del Consejo Directivo de la Oficina de Pensiones, fundándose en el artículo 54, de la Ley de Pensiones, en el que no considera el pa</w:t>
      </w:r>
      <w:r>
        <w:rPr>
          <w:rFonts w:ascii="Arial" w:eastAsia="Calibri" w:hAnsi="Arial" w:cs="Arial"/>
          <w:sz w:val="23"/>
          <w:szCs w:val="23"/>
        </w:rPr>
        <w:t>go de diversas prestaciones al actor por haber sido trabajador</w:t>
      </w:r>
      <w:r w:rsidRPr="00505146">
        <w:rPr>
          <w:rFonts w:ascii="Arial" w:eastAsia="Calibri" w:hAnsi="Arial" w:cs="Arial"/>
          <w:sz w:val="23"/>
          <w:szCs w:val="23"/>
        </w:rPr>
        <w:t xml:space="preserve"> de confianza, es violatorio de los derechos humanos contenidos en la Constitución Federal y en los Tratados Internacionales</w:t>
      </w:r>
      <w:r w:rsidRPr="00505146">
        <w:rPr>
          <w:rFonts w:ascii="Arial" w:eastAsia="Calibri" w:hAnsi="Arial" w:cs="Arial"/>
          <w:b/>
          <w:sz w:val="23"/>
          <w:szCs w:val="23"/>
        </w:rPr>
        <w:t xml:space="preserve">, </w:t>
      </w:r>
      <w:r w:rsidRPr="00505146">
        <w:rPr>
          <w:rFonts w:ascii="Arial" w:eastAsia="Calibri" w:hAnsi="Arial" w:cs="Arial"/>
          <w:sz w:val="23"/>
          <w:szCs w:val="23"/>
        </w:rPr>
        <w:t xml:space="preserve"> por ello, con la obligación de proteger y garantizar a los derechos humanos, procede aplicar el artículo 54, de la Ley de Pensiones para los Trabajadores del Gobierno del Estado, publicada en el Periódico Oficial del Estado de Oaxaca, el veintiocho de enero de dos mil doce, de manera extensiva a los trabajadores de confianza, es decir, para que los jubilados sean trabajadores de base o de confianza </w:t>
      </w:r>
      <w:r w:rsidRPr="00505146">
        <w:rPr>
          <w:rFonts w:ascii="Arial" w:eastAsia="Calibri" w:hAnsi="Arial" w:cs="Arial"/>
          <w:b/>
          <w:sz w:val="23"/>
          <w:szCs w:val="23"/>
        </w:rPr>
        <w:t>reciban las mismas prestaciones</w:t>
      </w:r>
      <w:r w:rsidRPr="00505146">
        <w:rPr>
          <w:rFonts w:ascii="Arial" w:eastAsia="Calibri" w:hAnsi="Arial" w:cs="Arial"/>
          <w:sz w:val="23"/>
          <w:szCs w:val="23"/>
        </w:rPr>
        <w:t>, sin importar que categoría tuvieron siendo trabajadores, y no se transgreda en su perjuicio sus derechos humanos a la igualdad general y a la no discriminación, previstos en el artículo 1º de la Constitución Política de los Estados Unidos Mexicanos,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D16F90" w:rsidRPr="00505146" w:rsidRDefault="00D16F90" w:rsidP="00D16F90">
      <w:pPr>
        <w:spacing w:line="360" w:lineRule="auto"/>
        <w:ind w:right="-518" w:firstLine="567"/>
        <w:jc w:val="both"/>
        <w:rPr>
          <w:rFonts w:ascii="Arial" w:eastAsia="Calibri" w:hAnsi="Arial" w:cs="Arial"/>
          <w:sz w:val="23"/>
          <w:szCs w:val="23"/>
        </w:rPr>
      </w:pPr>
    </w:p>
    <w:p w:rsidR="00D16F90" w:rsidRDefault="00D16F90" w:rsidP="00D16F90">
      <w:pPr>
        <w:spacing w:line="360" w:lineRule="auto"/>
        <w:ind w:right="-518" w:firstLine="567"/>
        <w:jc w:val="both"/>
        <w:rPr>
          <w:rFonts w:ascii="Arial" w:eastAsia="Calibri" w:hAnsi="Arial" w:cs="Arial"/>
          <w:color w:val="000000"/>
          <w:sz w:val="23"/>
          <w:szCs w:val="23"/>
        </w:rPr>
      </w:pPr>
      <w:r w:rsidRPr="00505146">
        <w:rPr>
          <w:rFonts w:ascii="Arial" w:eastAsia="Calibri" w:hAnsi="Arial" w:cs="Arial"/>
          <w:bCs/>
          <w:color w:val="000000"/>
          <w:sz w:val="23"/>
          <w:szCs w:val="23"/>
        </w:rPr>
        <w:t xml:space="preserve">Por las consideraciones precisadas, procede declarar </w:t>
      </w:r>
      <w:r w:rsidRPr="00505146">
        <w:rPr>
          <w:rFonts w:ascii="Arial" w:eastAsia="Calibri" w:hAnsi="Arial" w:cs="Arial"/>
          <w:b/>
          <w:bCs/>
          <w:color w:val="000000"/>
          <w:sz w:val="23"/>
          <w:szCs w:val="23"/>
        </w:rPr>
        <w:t xml:space="preserve">LA NULIDAD </w:t>
      </w:r>
      <w:r>
        <w:rPr>
          <w:rFonts w:ascii="Arial" w:eastAsia="Calibri" w:hAnsi="Arial" w:cs="Arial"/>
          <w:bCs/>
          <w:color w:val="000000"/>
          <w:sz w:val="23"/>
          <w:szCs w:val="23"/>
        </w:rPr>
        <w:t>de los</w:t>
      </w:r>
      <w:r w:rsidRPr="00505146">
        <w:rPr>
          <w:rFonts w:ascii="Arial" w:eastAsia="Calibri" w:hAnsi="Arial" w:cs="Arial"/>
          <w:bCs/>
          <w:color w:val="000000"/>
          <w:sz w:val="23"/>
          <w:szCs w:val="23"/>
        </w:rPr>
        <w:t xml:space="preserve"> oficio</w:t>
      </w:r>
      <w:r>
        <w:rPr>
          <w:rFonts w:ascii="Arial" w:eastAsia="Calibri" w:hAnsi="Arial" w:cs="Arial"/>
          <w:bCs/>
          <w:color w:val="000000"/>
          <w:sz w:val="23"/>
          <w:szCs w:val="23"/>
        </w:rPr>
        <w:t>s</w:t>
      </w:r>
      <w:r w:rsidRPr="00505146">
        <w:rPr>
          <w:rFonts w:ascii="Arial" w:eastAsia="Calibri" w:hAnsi="Arial" w:cs="Arial"/>
          <w:bCs/>
          <w:color w:val="000000"/>
          <w:sz w:val="23"/>
          <w:szCs w:val="23"/>
        </w:rPr>
        <w:t xml:space="preserve"> </w:t>
      </w:r>
      <w:r>
        <w:rPr>
          <w:rFonts w:ascii="Arial" w:eastAsia="Calibri" w:hAnsi="Arial" w:cs="Arial"/>
          <w:sz w:val="23"/>
          <w:szCs w:val="23"/>
        </w:rPr>
        <w:t>OP/DG/3009/2016</w:t>
      </w:r>
      <w:r w:rsidRPr="00505146">
        <w:rPr>
          <w:rFonts w:ascii="Arial" w:eastAsia="Calibri" w:hAnsi="Arial" w:cs="Arial"/>
          <w:sz w:val="23"/>
          <w:szCs w:val="23"/>
        </w:rPr>
        <w:t xml:space="preserve">, de fecha </w:t>
      </w:r>
      <w:r>
        <w:rPr>
          <w:rFonts w:ascii="Arial" w:eastAsia="Calibri" w:hAnsi="Arial" w:cs="Arial"/>
          <w:sz w:val="23"/>
          <w:szCs w:val="23"/>
        </w:rPr>
        <w:t>veinti</w:t>
      </w:r>
      <w:r w:rsidRPr="00505146">
        <w:rPr>
          <w:rFonts w:ascii="Arial" w:eastAsia="Calibri" w:hAnsi="Arial" w:cs="Arial"/>
          <w:sz w:val="23"/>
          <w:szCs w:val="23"/>
        </w:rPr>
        <w:t>trés</w:t>
      </w:r>
      <w:r>
        <w:rPr>
          <w:rFonts w:ascii="Arial" w:eastAsia="Calibri" w:hAnsi="Arial" w:cs="Arial"/>
          <w:sz w:val="23"/>
          <w:szCs w:val="23"/>
        </w:rPr>
        <w:t xml:space="preserve"> de diciembre de dos mil dieciséis</w:t>
      </w:r>
      <w:r w:rsidRPr="00505146">
        <w:rPr>
          <w:rFonts w:ascii="Arial" w:eastAsia="Calibri" w:hAnsi="Arial" w:cs="Arial"/>
          <w:sz w:val="23"/>
          <w:szCs w:val="23"/>
        </w:rPr>
        <w:t>,</w:t>
      </w:r>
      <w:r>
        <w:rPr>
          <w:rFonts w:ascii="Arial" w:eastAsia="Calibri" w:hAnsi="Arial" w:cs="Arial"/>
          <w:sz w:val="23"/>
          <w:szCs w:val="23"/>
        </w:rPr>
        <w:t xml:space="preserve"> y OP/DG/1860/14, de fecha veintiséis de septiembre de dos mil catorce,</w:t>
      </w:r>
      <w:r w:rsidRPr="00505146">
        <w:rPr>
          <w:rFonts w:ascii="Arial" w:eastAsia="Calibri" w:hAnsi="Arial" w:cs="Arial"/>
          <w:sz w:val="23"/>
          <w:szCs w:val="23"/>
        </w:rPr>
        <w:t xml:space="preserve"> para el efecto que el Director General de la Oficina de Pensiones del Gobierno del Estado, </w:t>
      </w:r>
      <w:r>
        <w:rPr>
          <w:rFonts w:ascii="Arial" w:eastAsia="Calibri" w:hAnsi="Arial" w:cs="Arial"/>
          <w:bCs/>
          <w:color w:val="000000"/>
          <w:sz w:val="23"/>
          <w:szCs w:val="23"/>
        </w:rPr>
        <w:t>dicte otro</w:t>
      </w:r>
      <w:r w:rsidRPr="00505146">
        <w:rPr>
          <w:rFonts w:ascii="Arial" w:eastAsia="Calibri" w:hAnsi="Arial" w:cs="Arial"/>
          <w:bCs/>
          <w:color w:val="000000"/>
          <w:sz w:val="23"/>
          <w:szCs w:val="23"/>
        </w:rPr>
        <w:t xml:space="preserve">, en el que </w:t>
      </w:r>
      <w:r>
        <w:rPr>
          <w:rFonts w:ascii="Arial" w:eastAsia="Calibri" w:hAnsi="Arial" w:cs="Arial"/>
          <w:b/>
          <w:bCs/>
          <w:color w:val="000000"/>
          <w:sz w:val="23"/>
          <w:szCs w:val="23"/>
        </w:rPr>
        <w:t>otorgue al actor</w:t>
      </w:r>
      <w:r w:rsidRPr="00505146">
        <w:rPr>
          <w:rFonts w:ascii="Arial" w:eastAsia="Calibri" w:hAnsi="Arial" w:cs="Arial"/>
          <w:b/>
          <w:bCs/>
          <w:color w:val="000000"/>
          <w:sz w:val="23"/>
          <w:szCs w:val="23"/>
        </w:rPr>
        <w:t xml:space="preserve"> la pensión por jubilación con las mismas prestaciones que percibe un trabajador de base, en términos del artículo 54 de la Ley de Pensiones para los Trabajadores del Gobierno del Estado</w:t>
      </w:r>
      <w:r w:rsidRPr="00505146">
        <w:rPr>
          <w:rFonts w:ascii="Arial" w:eastAsia="Calibri" w:hAnsi="Arial" w:cs="Arial"/>
          <w:color w:val="000000"/>
          <w:sz w:val="23"/>
          <w:szCs w:val="23"/>
        </w:rPr>
        <w:t>.</w:t>
      </w:r>
    </w:p>
    <w:p w:rsidR="00D16F90" w:rsidRPr="00505146" w:rsidRDefault="00D16F90" w:rsidP="00D16F90">
      <w:pPr>
        <w:spacing w:line="360" w:lineRule="auto"/>
        <w:ind w:right="-518" w:firstLine="567"/>
        <w:jc w:val="both"/>
        <w:rPr>
          <w:rFonts w:ascii="Arial" w:eastAsia="Calibri" w:hAnsi="Arial" w:cs="Arial"/>
          <w:sz w:val="23"/>
          <w:szCs w:val="23"/>
        </w:rPr>
      </w:pPr>
    </w:p>
    <w:p w:rsidR="00D16F90" w:rsidRDefault="00D16F90" w:rsidP="00D16F90">
      <w:pPr>
        <w:spacing w:line="360" w:lineRule="auto"/>
        <w:ind w:right="49" w:firstLine="708"/>
        <w:jc w:val="both"/>
        <w:rPr>
          <w:rFonts w:ascii="Arial" w:eastAsia="Calibri" w:hAnsi="Arial" w:cs="Arial"/>
          <w:sz w:val="23"/>
          <w:szCs w:val="23"/>
        </w:rPr>
      </w:pPr>
      <w:r w:rsidRPr="00505146">
        <w:rPr>
          <w:rFonts w:ascii="Arial" w:eastAsia="Calibri" w:hAnsi="Arial" w:cs="Arial"/>
          <w:sz w:val="23"/>
          <w:szCs w:val="23"/>
        </w:rPr>
        <w:t>Por lo expuesto y con</w:t>
      </w:r>
      <w:r>
        <w:rPr>
          <w:rFonts w:ascii="Arial" w:eastAsia="Calibri" w:hAnsi="Arial" w:cs="Arial"/>
          <w:sz w:val="23"/>
          <w:szCs w:val="23"/>
        </w:rPr>
        <w:t xml:space="preserve"> fundamento en los artículos 177, 178  fracción II y 179</w:t>
      </w:r>
      <w:r w:rsidRPr="00505146">
        <w:rPr>
          <w:rFonts w:ascii="Arial" w:eastAsia="Calibri" w:hAnsi="Arial" w:cs="Arial"/>
          <w:sz w:val="23"/>
          <w:szCs w:val="23"/>
        </w:rPr>
        <w:t xml:space="preserve"> d</w:t>
      </w:r>
      <w:r>
        <w:rPr>
          <w:rFonts w:ascii="Arial" w:eastAsia="Calibri" w:hAnsi="Arial" w:cs="Arial"/>
          <w:sz w:val="23"/>
          <w:szCs w:val="23"/>
        </w:rPr>
        <w:t>e Ley de</w:t>
      </w:r>
      <w:r w:rsidRPr="00505146">
        <w:rPr>
          <w:rFonts w:ascii="Arial" w:eastAsia="Calibri" w:hAnsi="Arial" w:cs="Arial"/>
          <w:sz w:val="23"/>
          <w:szCs w:val="23"/>
        </w:rPr>
        <w:t xml:space="preserve"> Justicia Administrativa para el Estado de Oaxaca, se; </w:t>
      </w:r>
    </w:p>
    <w:p w:rsidR="00D16F90" w:rsidRPr="00505146" w:rsidRDefault="00D16F90" w:rsidP="00D16F90">
      <w:pPr>
        <w:spacing w:line="360" w:lineRule="auto"/>
        <w:ind w:right="49" w:firstLine="708"/>
        <w:jc w:val="both"/>
        <w:rPr>
          <w:rFonts w:ascii="Arial" w:eastAsia="Calibri" w:hAnsi="Arial" w:cs="Arial"/>
          <w:bCs/>
          <w:color w:val="000000"/>
          <w:sz w:val="23"/>
          <w:szCs w:val="23"/>
        </w:rPr>
      </w:pPr>
    </w:p>
    <w:p w:rsidR="00D16F90" w:rsidRDefault="00D16F90" w:rsidP="00D16F90">
      <w:pPr>
        <w:spacing w:line="360" w:lineRule="auto"/>
        <w:ind w:right="-518" w:firstLine="708"/>
        <w:jc w:val="center"/>
        <w:rPr>
          <w:rFonts w:ascii="Arial" w:eastAsia="Calibri" w:hAnsi="Arial" w:cs="Arial"/>
          <w:b/>
          <w:sz w:val="23"/>
          <w:szCs w:val="23"/>
        </w:rPr>
      </w:pPr>
      <w:r w:rsidRPr="00505146">
        <w:rPr>
          <w:rFonts w:ascii="Arial" w:eastAsia="Calibri" w:hAnsi="Arial" w:cs="Arial"/>
          <w:b/>
          <w:sz w:val="23"/>
          <w:szCs w:val="23"/>
        </w:rPr>
        <w:t>R  E  S  U  E  L  V  E</w:t>
      </w:r>
    </w:p>
    <w:p w:rsidR="00D16F90" w:rsidRPr="00505146" w:rsidRDefault="00D16F90" w:rsidP="00D16F90">
      <w:pPr>
        <w:spacing w:line="360" w:lineRule="auto"/>
        <w:ind w:right="-518" w:firstLine="708"/>
        <w:jc w:val="center"/>
        <w:rPr>
          <w:rFonts w:ascii="Arial" w:eastAsia="Calibri" w:hAnsi="Arial" w:cs="Arial"/>
          <w:b/>
          <w:sz w:val="23"/>
          <w:szCs w:val="23"/>
        </w:rPr>
      </w:pPr>
    </w:p>
    <w:p w:rsidR="00D16F90" w:rsidRDefault="00D16F90" w:rsidP="00D16F90">
      <w:pPr>
        <w:spacing w:line="360" w:lineRule="auto"/>
        <w:ind w:right="-539" w:firstLine="567"/>
        <w:jc w:val="both"/>
        <w:rPr>
          <w:rFonts w:ascii="Arial" w:eastAsia="Calibri" w:hAnsi="Arial" w:cs="Arial"/>
          <w:bCs/>
          <w:color w:val="000000"/>
          <w:sz w:val="23"/>
          <w:szCs w:val="23"/>
        </w:rPr>
      </w:pPr>
      <w:r w:rsidRPr="00505146">
        <w:rPr>
          <w:rFonts w:ascii="Arial" w:eastAsia="Calibri" w:hAnsi="Arial" w:cs="Arial"/>
          <w:b/>
          <w:bCs/>
          <w:color w:val="000000"/>
          <w:sz w:val="23"/>
          <w:szCs w:val="23"/>
        </w:rPr>
        <w:t>PRIMERO.</w:t>
      </w:r>
      <w:r w:rsidRPr="00505146">
        <w:rPr>
          <w:rFonts w:ascii="Arial" w:eastAsia="Calibri" w:hAnsi="Arial" w:cs="Arial"/>
          <w:bCs/>
          <w:color w:val="000000"/>
          <w:sz w:val="23"/>
          <w:szCs w:val="23"/>
        </w:rPr>
        <w:t xml:space="preserve"> Esta Segunda Sala Unitaria de Primera Instancia del Tribunal de Justicia Administrativa del Estado de Oaxaca, fue competente para conocer y resolver del presente asunto.</w:t>
      </w:r>
    </w:p>
    <w:p w:rsidR="00D16F90" w:rsidRPr="00505146" w:rsidRDefault="00D16F90" w:rsidP="00D16F90">
      <w:pPr>
        <w:spacing w:line="360" w:lineRule="auto"/>
        <w:ind w:right="-539" w:firstLine="567"/>
        <w:jc w:val="both"/>
        <w:rPr>
          <w:rFonts w:ascii="Arial" w:eastAsia="Calibri" w:hAnsi="Arial" w:cs="Arial"/>
          <w:bCs/>
          <w:color w:val="000000"/>
          <w:sz w:val="23"/>
          <w:szCs w:val="23"/>
        </w:rPr>
      </w:pPr>
    </w:p>
    <w:p w:rsidR="00D16F90" w:rsidRDefault="00D16F90" w:rsidP="00D16F90">
      <w:pPr>
        <w:spacing w:line="360" w:lineRule="auto"/>
        <w:ind w:right="-539" w:firstLine="567"/>
        <w:jc w:val="both"/>
        <w:rPr>
          <w:rFonts w:ascii="Arial" w:eastAsia="Calibri" w:hAnsi="Arial" w:cs="Arial"/>
          <w:bCs/>
          <w:color w:val="000000"/>
          <w:sz w:val="23"/>
          <w:szCs w:val="23"/>
        </w:rPr>
      </w:pPr>
      <w:r w:rsidRPr="00505146">
        <w:rPr>
          <w:rFonts w:ascii="Arial" w:eastAsia="Calibri" w:hAnsi="Arial" w:cs="Arial"/>
          <w:b/>
          <w:bCs/>
          <w:color w:val="000000"/>
          <w:sz w:val="23"/>
          <w:szCs w:val="23"/>
        </w:rPr>
        <w:t>SEGUNDO.</w:t>
      </w:r>
      <w:r>
        <w:rPr>
          <w:rFonts w:ascii="Arial" w:eastAsia="Calibri" w:hAnsi="Arial" w:cs="Arial"/>
          <w:bCs/>
          <w:color w:val="000000"/>
          <w:sz w:val="23"/>
          <w:szCs w:val="23"/>
        </w:rPr>
        <w:t xml:space="preserve"> La personalidad </w:t>
      </w:r>
      <w:r w:rsidRPr="00505146">
        <w:rPr>
          <w:rFonts w:ascii="Arial" w:eastAsia="Calibri" w:hAnsi="Arial" w:cs="Arial"/>
          <w:bCs/>
          <w:color w:val="000000"/>
          <w:sz w:val="23"/>
          <w:szCs w:val="23"/>
        </w:rPr>
        <w:t>de las partes quedó acreditada en autos.</w:t>
      </w:r>
    </w:p>
    <w:p w:rsidR="00D16F90" w:rsidRPr="00505146" w:rsidRDefault="00D16F90" w:rsidP="00D16F90">
      <w:pPr>
        <w:spacing w:line="360" w:lineRule="auto"/>
        <w:ind w:right="-539" w:firstLine="567"/>
        <w:jc w:val="both"/>
        <w:rPr>
          <w:rFonts w:ascii="Arial" w:eastAsia="Calibri" w:hAnsi="Arial" w:cs="Arial"/>
          <w:bCs/>
          <w:color w:val="000000"/>
          <w:sz w:val="23"/>
          <w:szCs w:val="23"/>
        </w:rPr>
      </w:pPr>
    </w:p>
    <w:p w:rsidR="00D16F90" w:rsidRDefault="00D16F90" w:rsidP="00D16F90">
      <w:pPr>
        <w:spacing w:line="360" w:lineRule="auto"/>
        <w:ind w:right="-518" w:firstLine="567"/>
        <w:jc w:val="both"/>
        <w:rPr>
          <w:rFonts w:ascii="Arial" w:eastAsia="Calibri" w:hAnsi="Arial" w:cs="Arial"/>
          <w:bCs/>
          <w:color w:val="000000"/>
          <w:sz w:val="23"/>
          <w:szCs w:val="23"/>
        </w:rPr>
      </w:pPr>
      <w:r w:rsidRPr="00505146">
        <w:rPr>
          <w:rFonts w:ascii="Arial" w:eastAsia="Calibri" w:hAnsi="Arial" w:cs="Arial"/>
          <w:b/>
          <w:bCs/>
          <w:color w:val="000000"/>
          <w:sz w:val="23"/>
          <w:szCs w:val="23"/>
        </w:rPr>
        <w:lastRenderedPageBreak/>
        <w:t>TERCERO.</w:t>
      </w:r>
      <w:r w:rsidRPr="00505146">
        <w:rPr>
          <w:rFonts w:ascii="Arial" w:eastAsia="Calibri" w:hAnsi="Arial" w:cs="Arial"/>
          <w:bCs/>
          <w:color w:val="000000"/>
          <w:sz w:val="23"/>
          <w:szCs w:val="23"/>
        </w:rPr>
        <w:t xml:space="preserve"> No se actualizaron causales de improcedencia y sobreseimiento hecho valer por la</w:t>
      </w:r>
      <w:r>
        <w:rPr>
          <w:rFonts w:ascii="Arial" w:eastAsia="Calibri" w:hAnsi="Arial" w:cs="Arial"/>
          <w:bCs/>
          <w:color w:val="000000"/>
          <w:sz w:val="23"/>
          <w:szCs w:val="23"/>
        </w:rPr>
        <w:t>s</w:t>
      </w:r>
      <w:r w:rsidRPr="00505146">
        <w:rPr>
          <w:rFonts w:ascii="Arial" w:eastAsia="Calibri" w:hAnsi="Arial" w:cs="Arial"/>
          <w:bCs/>
          <w:color w:val="000000"/>
          <w:sz w:val="23"/>
          <w:szCs w:val="23"/>
        </w:rPr>
        <w:t xml:space="preserve"> autoridad</w:t>
      </w:r>
      <w:r>
        <w:rPr>
          <w:rFonts w:ascii="Arial" w:eastAsia="Calibri" w:hAnsi="Arial" w:cs="Arial"/>
          <w:bCs/>
          <w:color w:val="000000"/>
          <w:sz w:val="23"/>
          <w:szCs w:val="23"/>
        </w:rPr>
        <w:t>es</w:t>
      </w:r>
      <w:r w:rsidRPr="00505146">
        <w:rPr>
          <w:rFonts w:ascii="Arial" w:eastAsia="Calibri" w:hAnsi="Arial" w:cs="Arial"/>
          <w:bCs/>
          <w:color w:val="000000"/>
          <w:sz w:val="23"/>
          <w:szCs w:val="23"/>
        </w:rPr>
        <w:t xml:space="preserve"> demandada</w:t>
      </w:r>
      <w:r>
        <w:rPr>
          <w:rFonts w:ascii="Arial" w:eastAsia="Calibri" w:hAnsi="Arial" w:cs="Arial"/>
          <w:bCs/>
          <w:color w:val="000000"/>
          <w:sz w:val="23"/>
          <w:szCs w:val="23"/>
        </w:rPr>
        <w:t>s</w:t>
      </w:r>
      <w:r w:rsidRPr="00505146">
        <w:rPr>
          <w:rFonts w:ascii="Arial" w:eastAsia="Calibri" w:hAnsi="Arial" w:cs="Arial"/>
          <w:bCs/>
          <w:color w:val="000000"/>
          <w:sz w:val="23"/>
          <w:szCs w:val="23"/>
        </w:rPr>
        <w:t>.</w:t>
      </w:r>
    </w:p>
    <w:p w:rsidR="00D16F90" w:rsidRPr="00505146" w:rsidRDefault="00D16F90" w:rsidP="00D16F90">
      <w:pPr>
        <w:spacing w:line="360" w:lineRule="auto"/>
        <w:ind w:right="-518" w:firstLine="567"/>
        <w:jc w:val="both"/>
        <w:rPr>
          <w:rFonts w:ascii="Arial" w:eastAsia="Calibri" w:hAnsi="Arial" w:cs="Arial"/>
          <w:bCs/>
          <w:color w:val="000000"/>
          <w:sz w:val="23"/>
          <w:szCs w:val="23"/>
        </w:rPr>
      </w:pPr>
    </w:p>
    <w:p w:rsidR="00D16F90" w:rsidRDefault="00D16F90" w:rsidP="00D16F90">
      <w:pPr>
        <w:spacing w:line="360" w:lineRule="auto"/>
        <w:ind w:right="-518" w:firstLine="567"/>
        <w:jc w:val="both"/>
        <w:rPr>
          <w:rFonts w:ascii="Arial" w:eastAsia="Calibri" w:hAnsi="Arial" w:cs="Arial"/>
          <w:sz w:val="23"/>
          <w:szCs w:val="23"/>
        </w:rPr>
      </w:pPr>
      <w:r w:rsidRPr="00505146">
        <w:rPr>
          <w:rFonts w:ascii="Arial" w:eastAsia="Calibri" w:hAnsi="Arial" w:cs="Arial"/>
          <w:bCs/>
          <w:color w:val="000000"/>
          <w:sz w:val="23"/>
          <w:szCs w:val="23"/>
        </w:rPr>
        <w:t xml:space="preserve"> </w:t>
      </w:r>
      <w:r w:rsidRPr="00505146">
        <w:rPr>
          <w:rFonts w:ascii="Arial" w:eastAsia="Calibri" w:hAnsi="Arial" w:cs="Arial"/>
          <w:b/>
          <w:bCs/>
          <w:color w:val="000000"/>
          <w:sz w:val="23"/>
          <w:szCs w:val="23"/>
        </w:rPr>
        <w:t>CUARTO.</w:t>
      </w:r>
      <w:r w:rsidRPr="00505146">
        <w:rPr>
          <w:rFonts w:ascii="Arial" w:eastAsia="Calibri" w:hAnsi="Arial" w:cs="Arial"/>
          <w:bCs/>
          <w:color w:val="000000"/>
          <w:sz w:val="23"/>
          <w:szCs w:val="23"/>
        </w:rPr>
        <w:t xml:space="preserve"> Se declara </w:t>
      </w:r>
      <w:r w:rsidRPr="00505146">
        <w:rPr>
          <w:rFonts w:ascii="Arial" w:eastAsia="Calibri" w:hAnsi="Arial" w:cs="Arial"/>
          <w:b/>
          <w:bCs/>
          <w:color w:val="000000"/>
          <w:sz w:val="23"/>
          <w:szCs w:val="23"/>
        </w:rPr>
        <w:t xml:space="preserve">LA NULIDAD </w:t>
      </w:r>
      <w:r>
        <w:rPr>
          <w:rFonts w:ascii="Arial" w:eastAsia="Calibri" w:hAnsi="Arial" w:cs="Arial"/>
          <w:bCs/>
          <w:color w:val="000000"/>
          <w:sz w:val="23"/>
          <w:szCs w:val="23"/>
        </w:rPr>
        <w:t xml:space="preserve">de </w:t>
      </w:r>
      <w:r w:rsidRPr="00505146">
        <w:rPr>
          <w:rFonts w:ascii="Arial" w:eastAsia="Calibri" w:hAnsi="Arial" w:cs="Arial"/>
          <w:bCs/>
          <w:color w:val="000000"/>
          <w:sz w:val="23"/>
          <w:szCs w:val="23"/>
        </w:rPr>
        <w:t>l</w:t>
      </w:r>
      <w:r>
        <w:rPr>
          <w:rFonts w:ascii="Arial" w:eastAsia="Calibri" w:hAnsi="Arial" w:cs="Arial"/>
          <w:bCs/>
          <w:color w:val="000000"/>
          <w:sz w:val="23"/>
          <w:szCs w:val="23"/>
        </w:rPr>
        <w:t>os</w:t>
      </w:r>
      <w:r w:rsidRPr="00505146">
        <w:rPr>
          <w:rFonts w:ascii="Arial" w:eastAsia="Calibri" w:hAnsi="Arial" w:cs="Arial"/>
          <w:bCs/>
          <w:color w:val="000000"/>
          <w:sz w:val="23"/>
          <w:szCs w:val="23"/>
        </w:rPr>
        <w:t xml:space="preserve"> oficio</w:t>
      </w:r>
      <w:r>
        <w:rPr>
          <w:rFonts w:ascii="Arial" w:eastAsia="Calibri" w:hAnsi="Arial" w:cs="Arial"/>
          <w:bCs/>
          <w:color w:val="000000"/>
          <w:sz w:val="23"/>
          <w:szCs w:val="23"/>
        </w:rPr>
        <w:t>s</w:t>
      </w:r>
      <w:r w:rsidRPr="00505146">
        <w:rPr>
          <w:rFonts w:ascii="Arial" w:eastAsia="Calibri" w:hAnsi="Arial" w:cs="Arial"/>
          <w:bCs/>
          <w:color w:val="000000"/>
          <w:sz w:val="23"/>
          <w:szCs w:val="23"/>
        </w:rPr>
        <w:t xml:space="preserve"> </w:t>
      </w:r>
      <w:r>
        <w:rPr>
          <w:rFonts w:ascii="Arial" w:eastAsia="Calibri" w:hAnsi="Arial" w:cs="Arial"/>
          <w:sz w:val="23"/>
          <w:szCs w:val="23"/>
        </w:rPr>
        <w:t>OP/DG/3009/2016</w:t>
      </w:r>
      <w:r w:rsidRPr="00505146">
        <w:rPr>
          <w:rFonts w:ascii="Arial" w:eastAsia="Calibri" w:hAnsi="Arial" w:cs="Arial"/>
          <w:sz w:val="23"/>
          <w:szCs w:val="23"/>
        </w:rPr>
        <w:t xml:space="preserve">, de fecha </w:t>
      </w:r>
      <w:r>
        <w:rPr>
          <w:rFonts w:ascii="Arial" w:eastAsia="Calibri" w:hAnsi="Arial" w:cs="Arial"/>
          <w:sz w:val="23"/>
          <w:szCs w:val="23"/>
        </w:rPr>
        <w:t>veinti</w:t>
      </w:r>
      <w:r w:rsidRPr="00505146">
        <w:rPr>
          <w:rFonts w:ascii="Arial" w:eastAsia="Calibri" w:hAnsi="Arial" w:cs="Arial"/>
          <w:sz w:val="23"/>
          <w:szCs w:val="23"/>
        </w:rPr>
        <w:t>trés</w:t>
      </w:r>
      <w:r>
        <w:rPr>
          <w:rFonts w:ascii="Arial" w:eastAsia="Calibri" w:hAnsi="Arial" w:cs="Arial"/>
          <w:sz w:val="23"/>
          <w:szCs w:val="23"/>
        </w:rPr>
        <w:t xml:space="preserve"> de diciembre de dos mil dieciséis</w:t>
      </w:r>
      <w:r w:rsidRPr="00505146">
        <w:rPr>
          <w:rFonts w:ascii="Arial" w:eastAsia="Calibri" w:hAnsi="Arial" w:cs="Arial"/>
          <w:sz w:val="23"/>
          <w:szCs w:val="23"/>
        </w:rPr>
        <w:t>,</w:t>
      </w:r>
      <w:r>
        <w:rPr>
          <w:rFonts w:ascii="Arial" w:eastAsia="Calibri" w:hAnsi="Arial" w:cs="Arial"/>
          <w:sz w:val="23"/>
          <w:szCs w:val="23"/>
        </w:rPr>
        <w:t xml:space="preserve"> y OP/DG/1860/14, de fecha veintiséis de septiembre de dos mil catorce, </w:t>
      </w:r>
      <w:r w:rsidRPr="00505146">
        <w:rPr>
          <w:rFonts w:ascii="Arial" w:eastAsia="Calibri" w:hAnsi="Arial" w:cs="Arial"/>
          <w:sz w:val="23"/>
          <w:szCs w:val="23"/>
        </w:rPr>
        <w:t xml:space="preserve"> para el efecto que el Director General de la Oficina de Pensiones del Gobierno del Estado</w:t>
      </w:r>
      <w:r w:rsidRPr="00505146">
        <w:rPr>
          <w:rFonts w:ascii="Arial" w:eastAsia="Calibri" w:hAnsi="Arial" w:cs="Arial"/>
          <w:bCs/>
          <w:color w:val="000000"/>
          <w:sz w:val="23"/>
          <w:szCs w:val="23"/>
        </w:rPr>
        <w:t>, di</w:t>
      </w:r>
      <w:r>
        <w:rPr>
          <w:rFonts w:ascii="Arial" w:eastAsia="Calibri" w:hAnsi="Arial" w:cs="Arial"/>
          <w:bCs/>
          <w:color w:val="000000"/>
          <w:sz w:val="23"/>
          <w:szCs w:val="23"/>
        </w:rPr>
        <w:t>cte otra, en la que otorgue al actor</w:t>
      </w:r>
      <w:r w:rsidRPr="00505146">
        <w:rPr>
          <w:rFonts w:ascii="Arial" w:eastAsia="Calibri" w:hAnsi="Arial" w:cs="Arial"/>
          <w:bCs/>
          <w:color w:val="000000"/>
          <w:sz w:val="23"/>
          <w:szCs w:val="23"/>
        </w:rPr>
        <w:t xml:space="preserve"> la pensión por jubilación con las mismas prestaciones que percibe un trabajador jubilado de base, en términos del artículo 54 de la Ley de Pensiones para los Trabajadores del Gobierno del Estado</w:t>
      </w:r>
      <w:r w:rsidRPr="00505146">
        <w:rPr>
          <w:rFonts w:ascii="Arial" w:eastAsia="Calibri" w:hAnsi="Arial" w:cs="Arial"/>
          <w:sz w:val="23"/>
          <w:szCs w:val="23"/>
        </w:rPr>
        <w:t xml:space="preserve">. </w:t>
      </w:r>
    </w:p>
    <w:p w:rsidR="00D16F90" w:rsidRPr="00505146" w:rsidRDefault="00D16F90" w:rsidP="00D16F90">
      <w:pPr>
        <w:spacing w:line="360" w:lineRule="auto"/>
        <w:ind w:right="-518" w:firstLine="567"/>
        <w:jc w:val="both"/>
        <w:rPr>
          <w:rFonts w:ascii="Arial" w:eastAsia="Calibri" w:hAnsi="Arial" w:cs="Arial"/>
          <w:sz w:val="23"/>
          <w:szCs w:val="23"/>
        </w:rPr>
      </w:pPr>
    </w:p>
    <w:p w:rsidR="00D16F90" w:rsidRDefault="00D16F90" w:rsidP="00D16F90">
      <w:pPr>
        <w:spacing w:line="360" w:lineRule="auto"/>
        <w:ind w:firstLine="567"/>
        <w:jc w:val="both"/>
        <w:rPr>
          <w:rFonts w:ascii="Arial" w:eastAsia="Calibri" w:hAnsi="Arial" w:cs="Arial"/>
          <w:b/>
          <w:sz w:val="23"/>
          <w:szCs w:val="23"/>
        </w:rPr>
      </w:pPr>
      <w:r w:rsidRPr="00505146">
        <w:rPr>
          <w:rFonts w:ascii="Arial" w:eastAsia="Calibri" w:hAnsi="Arial" w:cs="Arial"/>
          <w:b/>
          <w:sz w:val="23"/>
          <w:szCs w:val="23"/>
        </w:rPr>
        <w:t>QUINTO.-</w:t>
      </w:r>
      <w:r w:rsidRPr="00505146">
        <w:rPr>
          <w:rFonts w:ascii="Arial" w:eastAsia="Calibri" w:hAnsi="Arial" w:cs="Arial"/>
          <w:sz w:val="23"/>
          <w:szCs w:val="23"/>
        </w:rPr>
        <w:t xml:space="preserve"> </w:t>
      </w:r>
      <w:r>
        <w:rPr>
          <w:rFonts w:ascii="Arial" w:eastAsia="Calibri" w:hAnsi="Arial" w:cs="Arial"/>
          <w:b/>
          <w:sz w:val="23"/>
          <w:szCs w:val="23"/>
        </w:rPr>
        <w:t>NOTIFIQUESE PERSONALMENTE AL ACTOR</w:t>
      </w:r>
      <w:r w:rsidRPr="00505146">
        <w:rPr>
          <w:rFonts w:ascii="Arial" w:eastAsia="Calibri" w:hAnsi="Arial" w:cs="Arial"/>
          <w:b/>
          <w:sz w:val="23"/>
          <w:szCs w:val="23"/>
        </w:rPr>
        <w:t xml:space="preserve"> Y POR OFICIO A LA</w:t>
      </w:r>
      <w:r>
        <w:rPr>
          <w:rFonts w:ascii="Arial" w:eastAsia="Calibri" w:hAnsi="Arial" w:cs="Arial"/>
          <w:b/>
          <w:sz w:val="23"/>
          <w:szCs w:val="23"/>
        </w:rPr>
        <w:t>S</w:t>
      </w:r>
      <w:r w:rsidRPr="00505146">
        <w:rPr>
          <w:rFonts w:ascii="Arial" w:eastAsia="Calibri" w:hAnsi="Arial" w:cs="Arial"/>
          <w:b/>
          <w:sz w:val="23"/>
          <w:szCs w:val="23"/>
        </w:rPr>
        <w:t xml:space="preserve"> AUTORIDAD</w:t>
      </w:r>
      <w:r>
        <w:rPr>
          <w:rFonts w:ascii="Arial" w:eastAsia="Calibri" w:hAnsi="Arial" w:cs="Arial"/>
          <w:b/>
          <w:sz w:val="23"/>
          <w:szCs w:val="23"/>
        </w:rPr>
        <w:t>ES</w:t>
      </w:r>
      <w:r w:rsidRPr="00505146">
        <w:rPr>
          <w:rFonts w:ascii="Arial" w:eastAsia="Calibri" w:hAnsi="Arial" w:cs="Arial"/>
          <w:b/>
          <w:sz w:val="23"/>
          <w:szCs w:val="23"/>
        </w:rPr>
        <w:t xml:space="preserve"> DEMANDADA</w:t>
      </w:r>
      <w:r>
        <w:rPr>
          <w:rFonts w:ascii="Arial" w:eastAsia="Calibri" w:hAnsi="Arial" w:cs="Arial"/>
          <w:b/>
          <w:sz w:val="23"/>
          <w:szCs w:val="23"/>
        </w:rPr>
        <w:t>S</w:t>
      </w:r>
      <w:r w:rsidRPr="00505146">
        <w:rPr>
          <w:rFonts w:ascii="Arial" w:eastAsia="Calibri" w:hAnsi="Arial" w:cs="Arial"/>
          <w:b/>
          <w:sz w:val="23"/>
          <w:szCs w:val="23"/>
        </w:rPr>
        <w:t xml:space="preserve">. </w:t>
      </w:r>
    </w:p>
    <w:p w:rsidR="00D16F90" w:rsidRPr="00505146" w:rsidRDefault="00D16F90" w:rsidP="00D16F90">
      <w:pPr>
        <w:spacing w:line="360" w:lineRule="auto"/>
        <w:ind w:firstLine="567"/>
        <w:jc w:val="both"/>
        <w:rPr>
          <w:rFonts w:ascii="Arial" w:eastAsia="Calibri" w:hAnsi="Arial" w:cs="Arial"/>
          <w:b/>
          <w:sz w:val="23"/>
          <w:szCs w:val="23"/>
        </w:rPr>
      </w:pPr>
    </w:p>
    <w:p w:rsidR="00D16F90" w:rsidRDefault="00D16F90" w:rsidP="00D16F90">
      <w:pPr>
        <w:spacing w:line="360" w:lineRule="auto"/>
        <w:ind w:right="-569" w:firstLine="567"/>
        <w:jc w:val="both"/>
        <w:rPr>
          <w:rFonts w:ascii="Arial" w:eastAsia="Calibri" w:hAnsi="Arial" w:cs="Arial"/>
          <w:sz w:val="23"/>
          <w:szCs w:val="23"/>
        </w:rPr>
      </w:pPr>
      <w:r w:rsidRPr="00505146">
        <w:rPr>
          <w:rFonts w:ascii="Arial" w:eastAsia="Calibri" w:hAnsi="Arial" w:cs="Arial"/>
          <w:sz w:val="23"/>
          <w:szCs w:val="23"/>
        </w:rPr>
        <w:t>Así lo acordó y firma el Magistrado de la Segunda Sala Unitaria de Primera Instancia del Tribunal de Justicia Administrativa del Estado de Oaxaca, quien actúa con el Secretario de Acuerdos, que autoriza y da fe.</w:t>
      </w:r>
    </w:p>
    <w:p w:rsidR="00D16F90" w:rsidRPr="00505146" w:rsidRDefault="00D16F90" w:rsidP="00D16F90">
      <w:pPr>
        <w:spacing w:line="360" w:lineRule="auto"/>
        <w:ind w:right="-569" w:firstLine="567"/>
        <w:jc w:val="both"/>
        <w:rPr>
          <w:rFonts w:ascii="Arial" w:eastAsia="Calibri" w:hAnsi="Arial" w:cs="Arial"/>
          <w:sz w:val="23"/>
          <w:szCs w:val="23"/>
        </w:rPr>
      </w:pPr>
    </w:p>
    <w:p w:rsidR="00D16F90" w:rsidRPr="00505146" w:rsidRDefault="00D16F90" w:rsidP="00D16F90">
      <w:pPr>
        <w:spacing w:line="360" w:lineRule="auto"/>
        <w:ind w:right="-569" w:firstLine="567"/>
        <w:jc w:val="both"/>
        <w:rPr>
          <w:rFonts w:ascii="Arial" w:eastAsia="Calibri" w:hAnsi="Arial" w:cs="Arial"/>
          <w:sz w:val="23"/>
          <w:szCs w:val="23"/>
        </w:rPr>
      </w:pPr>
    </w:p>
    <w:p w:rsidR="00582BF4" w:rsidRPr="000E6940" w:rsidRDefault="00582BF4" w:rsidP="000E6940"/>
    <w:sectPr w:rsidR="00582BF4" w:rsidRPr="000E6940" w:rsidSect="0064359A">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16F90">
      <w:rPr>
        <w:caps/>
        <w:noProof/>
        <w:color w:val="5B9BD5" w:themeColor="accent1"/>
      </w:rPr>
      <w:t>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00A" w:rsidRDefault="00FE14CC" w:rsidP="00837B71">
    <w:pPr>
      <w:pStyle w:val="Encabezado"/>
      <w:widowControl/>
      <w:tabs>
        <w:tab w:val="clear" w:pos="4252"/>
        <w:tab w:val="clear" w:pos="8504"/>
      </w:tabs>
      <w:jc w:val="center"/>
      <w:rPr>
        <w:rStyle w:val="Nmerodepgina"/>
        <w:rFonts w:ascii="Arial" w:hAnsi="Arial" w:cs="Arial"/>
        <w:bCs/>
        <w:sz w:val="24"/>
        <w:szCs w:val="22"/>
      </w:rPr>
    </w:pPr>
  </w:p>
  <w:p w:rsidR="0087100A" w:rsidRDefault="00FE14CC">
    <w:pPr>
      <w:pStyle w:val="Encabezado"/>
      <w:widowControl/>
      <w:tabs>
        <w:tab w:val="clear" w:pos="4252"/>
        <w:tab w:val="clear" w:pos="8504"/>
      </w:tabs>
      <w:jc w:val="center"/>
      <w:rPr>
        <w:rStyle w:val="Nmerodepgina"/>
        <w:rFonts w:ascii="Arial" w:hAnsi="Arial" w:cs="Arial"/>
        <w:bCs/>
        <w:sz w:val="24"/>
        <w:szCs w:val="22"/>
      </w:rPr>
    </w:pPr>
  </w:p>
  <w:p w:rsidR="0087100A" w:rsidRDefault="00FE14CC">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D16F90">
      <w:rPr>
        <w:rStyle w:val="Nmerodepgina"/>
        <w:rFonts w:ascii="Arial" w:hAnsi="Arial" w:cs="Arial"/>
        <w:bCs/>
        <w:noProof/>
        <w:sz w:val="24"/>
        <w:szCs w:val="22"/>
      </w:rPr>
      <w:t>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FE14CC">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00A" w:rsidRDefault="00AB11A6" w:rsidP="00793DB6">
    <w:pPr>
      <w:pStyle w:val="Encabezado"/>
      <w:jc w:val="center"/>
      <w:rPr>
        <w:rStyle w:val="Nmerodepgina"/>
        <w:b/>
      </w:rPr>
    </w:pPr>
    <w:r>
      <w:rPr>
        <w:rStyle w:val="Nmerodepgina"/>
        <w:sz w:val="24"/>
        <w:szCs w:val="24"/>
      </w:rPr>
      <w:t xml:space="preserve">                                                                                               </w:t>
    </w:r>
  </w:p>
  <w:p w:rsidR="0087100A" w:rsidRDefault="00FE14CC" w:rsidP="00793DB6">
    <w:pPr>
      <w:pStyle w:val="Encabezado"/>
      <w:jc w:val="center"/>
      <w:rPr>
        <w:rStyle w:val="Nmerodepgina"/>
        <w:b/>
      </w:rPr>
    </w:pPr>
  </w:p>
  <w:p w:rsidR="0087100A" w:rsidRDefault="00FE14CC" w:rsidP="00F6541A">
    <w:pPr>
      <w:pStyle w:val="Encabezado"/>
      <w:rPr>
        <w:rStyle w:val="Nmerodepgina"/>
        <w:sz w:val="24"/>
        <w:szCs w:val="24"/>
      </w:rPr>
    </w:pPr>
  </w:p>
  <w:p w:rsidR="0087100A" w:rsidRDefault="00FE14CC"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personales</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el artículo 116</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de la LGTAIP y</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el artículo 56</w:t>
                          </w:r>
                        </w:p>
                        <w:p w:rsidR="00B7160E" w:rsidRDefault="00B7160E" w:rsidP="00B7160E">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personales</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el artículo 116</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de la LGTAIP y</w:t>
                    </w:r>
                  </w:p>
                  <w:p w:rsidR="00B7160E" w:rsidRDefault="00B7160E" w:rsidP="00B7160E">
                    <w:pPr>
                      <w:autoSpaceDE w:val="0"/>
                      <w:autoSpaceDN w:val="0"/>
                      <w:adjustRightInd w:val="0"/>
                      <w:rPr>
                        <w:rFonts w:ascii="Arial" w:hAnsi="Arial" w:cs="Arial"/>
                        <w:b/>
                        <w:bCs/>
                        <w:color w:val="000000"/>
                      </w:rPr>
                    </w:pPr>
                    <w:r>
                      <w:rPr>
                        <w:rFonts w:ascii="Arial" w:hAnsi="Arial" w:cs="Arial"/>
                        <w:b/>
                        <w:bCs/>
                        <w:color w:val="000000"/>
                      </w:rPr>
                      <w:t>el artículo 56</w:t>
                    </w:r>
                  </w:p>
                  <w:p w:rsidR="00B7160E" w:rsidRDefault="00B7160E" w:rsidP="00B7160E">
                    <w:r>
                      <w:rPr>
                        <w:rFonts w:ascii="Arial" w:hAnsi="Arial" w:cs="Arial"/>
                        <w:b/>
                        <w:bCs/>
                        <w:color w:val="000000"/>
                      </w:rPr>
                      <w:t>de la LTAIPEO.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4F3280"/>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59A"/>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142C"/>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EAB-11BF-472D-AEB4-90CD6828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11</Pages>
  <Words>4593</Words>
  <Characters>25265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TJA-Personal</cp:lastModifiedBy>
  <cp:revision>23</cp:revision>
  <cp:lastPrinted>2019-05-02T18:11:00Z</cp:lastPrinted>
  <dcterms:created xsi:type="dcterms:W3CDTF">2019-04-03T16:04:00Z</dcterms:created>
  <dcterms:modified xsi:type="dcterms:W3CDTF">2019-07-02T16:05:00Z</dcterms:modified>
</cp:coreProperties>
</file>