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8D" w:rsidRPr="001042B6" w:rsidRDefault="00322F8D" w:rsidP="00322F8D">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 - -</w:t>
      </w:r>
    </w:p>
    <w:p w:rsidR="00322F8D" w:rsidRPr="001042B6" w:rsidRDefault="00322F8D" w:rsidP="00322F8D">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sidR="00FD07B0">
        <w:rPr>
          <w:rFonts w:ascii="Arial" w:hAnsi="Arial" w:cs="Arial"/>
          <w:b/>
          <w:sz w:val="24"/>
          <w:szCs w:val="24"/>
        </w:rPr>
        <w:t xml:space="preserve">VEINTISIETE </w:t>
      </w:r>
      <w:r>
        <w:rPr>
          <w:rFonts w:ascii="Arial" w:hAnsi="Arial" w:cs="Arial"/>
          <w:b/>
          <w:sz w:val="24"/>
          <w:szCs w:val="24"/>
        </w:rPr>
        <w:t xml:space="preserve">DE MAYO </w:t>
      </w:r>
      <w:r w:rsidRPr="001042B6">
        <w:rPr>
          <w:rFonts w:ascii="Arial" w:hAnsi="Arial" w:cs="Arial"/>
          <w:b/>
          <w:sz w:val="24"/>
          <w:szCs w:val="24"/>
        </w:rPr>
        <w:t>DEL AÑO DOS MIL DIECI</w:t>
      </w:r>
      <w:r>
        <w:rPr>
          <w:rFonts w:ascii="Arial" w:hAnsi="Arial" w:cs="Arial"/>
          <w:b/>
          <w:sz w:val="24"/>
          <w:szCs w:val="24"/>
        </w:rPr>
        <w:t>NUEVE</w:t>
      </w:r>
      <w:r w:rsidRPr="001042B6">
        <w:rPr>
          <w:rFonts w:ascii="Arial" w:hAnsi="Arial" w:cs="Arial"/>
          <w:b/>
          <w:sz w:val="24"/>
          <w:szCs w:val="24"/>
        </w:rPr>
        <w:t xml:space="preserve"> (</w:t>
      </w:r>
      <w:r w:rsidR="00FD07B0">
        <w:rPr>
          <w:rFonts w:ascii="Arial" w:hAnsi="Arial" w:cs="Arial"/>
          <w:b/>
          <w:sz w:val="24"/>
          <w:szCs w:val="24"/>
        </w:rPr>
        <w:t>27</w:t>
      </w:r>
      <w:r>
        <w:rPr>
          <w:rFonts w:ascii="Arial" w:hAnsi="Arial" w:cs="Arial"/>
          <w:b/>
          <w:sz w:val="24"/>
          <w:szCs w:val="24"/>
        </w:rPr>
        <w:t>/05</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xml:space="preserve">- - - </w:t>
      </w:r>
      <w:r w:rsidR="00FD07B0">
        <w:rPr>
          <w:rFonts w:ascii="Arial" w:hAnsi="Arial" w:cs="Arial"/>
          <w:b/>
          <w:sz w:val="24"/>
          <w:szCs w:val="24"/>
        </w:rPr>
        <w:t>- - - - -</w:t>
      </w:r>
    </w:p>
    <w:p w:rsidR="00322F8D" w:rsidRPr="001042B6" w:rsidRDefault="00322F8D" w:rsidP="00322F8D">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002/2019</w:t>
      </w:r>
      <w:r w:rsidRPr="001042B6">
        <w:rPr>
          <w:rFonts w:ascii="Arial" w:hAnsi="Arial" w:cs="Arial"/>
          <w:sz w:val="24"/>
          <w:szCs w:val="24"/>
        </w:rPr>
        <w:t xml:space="preserve">, promovido por </w:t>
      </w:r>
      <w:r w:rsidR="004F16BF">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4F16BF">
        <w:rPr>
          <w:rFonts w:ascii="Arial" w:hAnsi="Arial" w:cs="Arial"/>
          <w:sz w:val="24"/>
          <w:szCs w:val="24"/>
        </w:rPr>
        <w:t>OP/DG/****/2018</w:t>
      </w:r>
      <w:r>
        <w:rPr>
          <w:rFonts w:ascii="Arial" w:hAnsi="Arial" w:cs="Arial"/>
          <w:sz w:val="24"/>
          <w:szCs w:val="24"/>
        </w:rPr>
        <w:t xml:space="preserve">, de fecha </w:t>
      </w:r>
      <w:r w:rsidR="004F16BF">
        <w:rPr>
          <w:rFonts w:ascii="Arial" w:hAnsi="Arial" w:cs="Arial"/>
          <w:sz w:val="24"/>
          <w:szCs w:val="24"/>
        </w:rPr>
        <w:t>***** de ***** de dos mil dieciocho (**/**/2018)</w:t>
      </w:r>
      <w:r>
        <w:rPr>
          <w:rFonts w:ascii="Arial" w:hAnsi="Arial" w:cs="Arial"/>
          <w:sz w:val="24"/>
          <w:szCs w:val="24"/>
        </w:rPr>
        <w:t xml:space="preserve">, emitido por el </w:t>
      </w:r>
      <w:r w:rsidRPr="001042B6">
        <w:rPr>
          <w:rFonts w:ascii="Arial" w:hAnsi="Arial" w:cs="Arial"/>
          <w:sz w:val="24"/>
          <w:szCs w:val="24"/>
        </w:rPr>
        <w:t xml:space="preserve">Director General de la Oficina de Pensiones del Estado de </w:t>
      </w:r>
      <w:r w:rsidRPr="00A461FD">
        <w:rPr>
          <w:rFonts w:ascii="Arial" w:hAnsi="Arial" w:cs="Arial"/>
          <w:sz w:val="24"/>
          <w:szCs w:val="24"/>
        </w:rPr>
        <w:t>Oaxaca</w:t>
      </w:r>
      <w:r>
        <w:rPr>
          <w:rFonts w:ascii="Arial" w:hAnsi="Arial" w:cs="Arial"/>
          <w:sz w:val="24"/>
          <w:szCs w:val="24"/>
        </w:rPr>
        <w:t>, que contiene el acuerdo de revisión de condiciones de pensión otorgada al actor, declarando improcedente el pago de los conceptos solicitados, por no ser trabajador de base, e improcedente la eliminación del descuento del 9% de su pensión por concepto de fondo de pensiones</w:t>
      </w:r>
      <w:r w:rsidRPr="00A461FD">
        <w:rPr>
          <w:rFonts w:ascii="Arial" w:hAnsi="Arial" w:cs="Arial"/>
          <w:sz w:val="24"/>
          <w:szCs w:val="24"/>
        </w:rPr>
        <w:t>; y,</w:t>
      </w:r>
      <w:r w:rsidRPr="001042B6">
        <w:rPr>
          <w:rFonts w:ascii="Arial" w:hAnsi="Arial" w:cs="Arial"/>
          <w:sz w:val="24"/>
          <w:szCs w:val="24"/>
        </w:rPr>
        <w:t xml:space="preserve"> - - - </w:t>
      </w:r>
      <w:r>
        <w:rPr>
          <w:rFonts w:ascii="Arial" w:hAnsi="Arial" w:cs="Arial"/>
          <w:sz w:val="24"/>
          <w:szCs w:val="24"/>
        </w:rPr>
        <w:t xml:space="preserve">- - - - - - - - - - - - - - - - - - - - - - - - - - - </w:t>
      </w:r>
    </w:p>
    <w:p w:rsidR="00322F8D" w:rsidRPr="001042B6" w:rsidRDefault="00322F8D" w:rsidP="00322F8D">
      <w:pPr>
        <w:spacing w:line="360" w:lineRule="auto"/>
        <w:jc w:val="center"/>
        <w:rPr>
          <w:rFonts w:ascii="Arial" w:hAnsi="Arial" w:cs="Arial"/>
          <w:b/>
          <w:sz w:val="24"/>
          <w:szCs w:val="24"/>
        </w:rPr>
      </w:pPr>
      <w:r w:rsidRPr="001042B6">
        <w:rPr>
          <w:rFonts w:ascii="Arial" w:hAnsi="Arial" w:cs="Arial"/>
          <w:b/>
          <w:sz w:val="24"/>
          <w:szCs w:val="24"/>
        </w:rPr>
        <w:t>R E S U L T A N D O</w:t>
      </w:r>
    </w:p>
    <w:p w:rsidR="00322F8D" w:rsidRPr="001042B6" w:rsidRDefault="00322F8D" w:rsidP="00322F8D">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 xml:space="preserve">Con fecha </w:t>
      </w:r>
      <w:r>
        <w:rPr>
          <w:rFonts w:ascii="Arial" w:hAnsi="Arial" w:cs="Arial"/>
          <w:sz w:val="24"/>
          <w:szCs w:val="24"/>
        </w:rPr>
        <w:t xml:space="preserve">dieciséis de enero de dos mil diecinueve (16/01/2019),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w:t>
      </w:r>
      <w:r w:rsidRPr="001042B6">
        <w:rPr>
          <w:rFonts w:ascii="Arial" w:hAnsi="Arial" w:cs="Arial"/>
          <w:sz w:val="24"/>
          <w:szCs w:val="24"/>
        </w:rPr>
        <w:t>fecha</w:t>
      </w:r>
      <w:r>
        <w:rPr>
          <w:rFonts w:ascii="Arial" w:hAnsi="Arial" w:cs="Arial"/>
          <w:sz w:val="24"/>
          <w:szCs w:val="24"/>
        </w:rPr>
        <w:t xml:space="preserve"> diecisiete del mismo mes y año (17/01/2019),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Juicio a la autoridad demandada</w:t>
      </w:r>
      <w:r>
        <w:rPr>
          <w:rFonts w:ascii="Arial" w:hAnsi="Arial" w:cs="Arial"/>
          <w:sz w:val="24"/>
          <w:szCs w:val="24"/>
        </w:rPr>
        <w:t xml:space="preserve"> Consejo Directivo de Pensiones del Estado de Oaxaca</w:t>
      </w:r>
      <w:r w:rsidRPr="001042B6">
        <w:rPr>
          <w:rFonts w:ascii="Arial" w:hAnsi="Arial" w:cs="Arial"/>
          <w:sz w:val="24"/>
          <w:szCs w:val="24"/>
        </w:rPr>
        <w:t xml:space="preserve">. - - - - - </w:t>
      </w:r>
      <w:r w:rsidR="00D11DA2">
        <w:rPr>
          <w:rFonts w:ascii="Arial" w:hAnsi="Arial" w:cs="Arial"/>
          <w:sz w:val="24"/>
          <w:szCs w:val="24"/>
        </w:rPr>
        <w:t xml:space="preserve">- - </w:t>
      </w:r>
    </w:p>
    <w:p w:rsidR="00322F8D" w:rsidRDefault="00322F8D" w:rsidP="00322F8D">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uno de marzo de dos mil diecinueve (01/03/2019), </w:t>
      </w:r>
      <w:r w:rsidRPr="001042B6">
        <w:rPr>
          <w:rFonts w:ascii="Arial" w:hAnsi="Arial" w:cs="Arial"/>
          <w:sz w:val="24"/>
          <w:szCs w:val="24"/>
        </w:rPr>
        <w:t xml:space="preserve">se tuvo a la autoridad demandada </w:t>
      </w:r>
      <w:r>
        <w:rPr>
          <w:rFonts w:ascii="Arial" w:hAnsi="Arial" w:cs="Arial"/>
          <w:sz w:val="24"/>
          <w:szCs w:val="24"/>
        </w:rPr>
        <w:t xml:space="preserve">Consejo Directivo de Pensiones, contestando en tiempo la demanda por conducto del Director General de la Oficina de Pensiones del Estado de Oaxaca, además, se señaló fecha y hora para el desahogo de la audiencia final.- - - - - - - - - - - - </w:t>
      </w:r>
      <w:r w:rsidR="0023719F">
        <w:rPr>
          <w:rFonts w:ascii="Arial" w:hAnsi="Arial" w:cs="Arial"/>
          <w:sz w:val="24"/>
          <w:szCs w:val="24"/>
        </w:rPr>
        <w:t>- -</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TERCERO.-</w:t>
      </w:r>
      <w:r>
        <w:rPr>
          <w:rFonts w:ascii="Arial" w:hAnsi="Arial" w:cs="Arial"/>
          <w:b/>
          <w:sz w:val="24"/>
          <w:szCs w:val="24"/>
        </w:rPr>
        <w:t xml:space="preserve"> </w:t>
      </w:r>
      <w:r w:rsidRPr="00071BA1">
        <w:rPr>
          <w:rFonts w:ascii="Arial" w:hAnsi="Arial" w:cs="Arial"/>
          <w:sz w:val="24"/>
          <w:szCs w:val="24"/>
        </w:rPr>
        <w:t xml:space="preserve">El </w:t>
      </w:r>
      <w:r>
        <w:rPr>
          <w:rFonts w:ascii="Arial" w:hAnsi="Arial" w:cs="Arial"/>
          <w:sz w:val="24"/>
          <w:szCs w:val="24"/>
        </w:rPr>
        <w:t>ocho de mayo de dos mil dieciocho (08/05/2019</w:t>
      </w:r>
      <w:r w:rsidRPr="00071BA1">
        <w:rPr>
          <w:rFonts w:ascii="Arial" w:hAnsi="Arial" w:cs="Arial"/>
          <w:sz w:val="24"/>
          <w:szCs w:val="24"/>
        </w:rPr>
        <w:t>), se llevó a cabo la audiencia final,</w:t>
      </w:r>
      <w:r>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sidR="00C32921">
        <w:rPr>
          <w:rFonts w:ascii="Arial" w:hAnsi="Arial" w:cs="Arial"/>
          <w:sz w:val="24"/>
          <w:szCs w:val="24"/>
        </w:rPr>
        <w:t>-</w:t>
      </w:r>
    </w:p>
    <w:p w:rsidR="00322F8D" w:rsidRPr="001042B6" w:rsidRDefault="00322F8D" w:rsidP="00322F8D">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w:t>
      </w:r>
      <w:r w:rsidRPr="001042B6">
        <w:rPr>
          <w:rFonts w:ascii="Arial" w:hAnsi="Arial" w:cs="Arial"/>
          <w:sz w:val="24"/>
          <w:szCs w:val="24"/>
        </w:rPr>
        <w:lastRenderedPageBreak/>
        <w:t xml:space="preserve">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B75142">
        <w:rPr>
          <w:rFonts w:ascii="Arial" w:hAnsi="Arial" w:cs="Arial"/>
          <w:sz w:val="24"/>
          <w:szCs w:val="24"/>
        </w:rPr>
        <w:t>- - - -</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322F8D" w:rsidRDefault="00322F8D" w:rsidP="00322F8D">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4F16BF">
        <w:rPr>
          <w:rFonts w:ascii="Arial" w:hAnsi="Arial" w:cs="Arial"/>
          <w:sz w:val="24"/>
          <w:szCs w:val="24"/>
        </w:rPr>
        <w:t>***** *****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Original de tres recibos de pago de pensión por jubilación, expedidos por la Oficina de Pensiones del Estado, correspondientes a los meses de noviembre y diciembre de dos mil dieciocho y enero del año dos mil diecinueve; </w:t>
      </w:r>
      <w:r>
        <w:rPr>
          <w:rFonts w:ascii="Arial" w:hAnsi="Arial" w:cs="Arial"/>
          <w:b/>
          <w:sz w:val="24"/>
          <w:szCs w:val="24"/>
        </w:rPr>
        <w:t xml:space="preserve">2.- Copia simple de </w:t>
      </w:r>
      <w:r w:rsidRPr="005D2644">
        <w:rPr>
          <w:rFonts w:ascii="Arial" w:hAnsi="Arial" w:cs="Arial"/>
          <w:sz w:val="24"/>
          <w:szCs w:val="24"/>
        </w:rPr>
        <w:t xml:space="preserve">oficio </w:t>
      </w:r>
      <w:r w:rsidR="004F16BF">
        <w:rPr>
          <w:rFonts w:ascii="Arial" w:hAnsi="Arial" w:cs="Arial"/>
          <w:sz w:val="24"/>
          <w:szCs w:val="24"/>
        </w:rPr>
        <w:t>OP/DG/****/2018</w:t>
      </w:r>
      <w:r>
        <w:rPr>
          <w:rFonts w:ascii="Arial" w:hAnsi="Arial" w:cs="Arial"/>
          <w:sz w:val="24"/>
          <w:szCs w:val="24"/>
        </w:rPr>
        <w:t xml:space="preserve">, </w:t>
      </w:r>
      <w:r w:rsidRPr="005D2644">
        <w:rPr>
          <w:rFonts w:ascii="Arial" w:hAnsi="Arial" w:cs="Arial"/>
          <w:sz w:val="24"/>
          <w:szCs w:val="24"/>
        </w:rPr>
        <w:t>expedido con fecha</w:t>
      </w:r>
      <w:r>
        <w:rPr>
          <w:rFonts w:ascii="Arial" w:hAnsi="Arial" w:cs="Arial"/>
          <w:sz w:val="24"/>
          <w:szCs w:val="24"/>
        </w:rPr>
        <w:t xml:space="preserve"> </w:t>
      </w:r>
      <w:r w:rsidR="004F16BF">
        <w:rPr>
          <w:rFonts w:ascii="Arial" w:hAnsi="Arial" w:cs="Arial"/>
          <w:sz w:val="24"/>
          <w:szCs w:val="24"/>
        </w:rPr>
        <w:t>***** de ***** de dos mil dieciocho (**/**/2018)</w:t>
      </w:r>
      <w:r>
        <w:rPr>
          <w:rFonts w:ascii="Arial" w:hAnsi="Arial" w:cs="Arial"/>
          <w:sz w:val="24"/>
          <w:szCs w:val="24"/>
        </w:rPr>
        <w:t xml:space="preserve">, que contiene el dictamen de pensión por jubilación otorgado al actor; </w:t>
      </w:r>
      <w:r w:rsidRPr="001C5803">
        <w:rPr>
          <w:rFonts w:ascii="Arial" w:hAnsi="Arial" w:cs="Arial"/>
          <w:b/>
          <w:sz w:val="24"/>
          <w:szCs w:val="24"/>
        </w:rPr>
        <w:t>3.-</w:t>
      </w:r>
      <w:r>
        <w:rPr>
          <w:rFonts w:ascii="Arial" w:hAnsi="Arial" w:cs="Arial"/>
          <w:sz w:val="24"/>
          <w:szCs w:val="24"/>
        </w:rPr>
        <w:t xml:space="preserve"> Original de oficio </w:t>
      </w:r>
      <w:r w:rsidR="004F16BF">
        <w:rPr>
          <w:rFonts w:ascii="Arial" w:hAnsi="Arial" w:cs="Arial"/>
          <w:sz w:val="24"/>
          <w:szCs w:val="24"/>
        </w:rPr>
        <w:t>OP/DG/****/2018</w:t>
      </w:r>
      <w:r>
        <w:rPr>
          <w:rFonts w:ascii="Arial" w:hAnsi="Arial" w:cs="Arial"/>
          <w:sz w:val="24"/>
          <w:szCs w:val="24"/>
        </w:rPr>
        <w:t xml:space="preserve">, expedido con fecha </w:t>
      </w:r>
      <w:r w:rsidR="004F16BF">
        <w:rPr>
          <w:rFonts w:ascii="Arial" w:hAnsi="Arial" w:cs="Arial"/>
          <w:sz w:val="24"/>
          <w:szCs w:val="24"/>
        </w:rPr>
        <w:t>***** de ***** de dos mil dieciocho (**/**/2018)</w:t>
      </w:r>
      <w:r>
        <w:rPr>
          <w:rFonts w:ascii="Arial" w:hAnsi="Arial" w:cs="Arial"/>
          <w:sz w:val="24"/>
          <w:szCs w:val="24"/>
        </w:rPr>
        <w:t xml:space="preserve">, que contiene el  acuerdo de revisión de condiciones de pensión otorgada a favor del actor (acto impugnado), con su respectiva notificación; </w:t>
      </w:r>
      <w:r w:rsidRPr="006B3F38">
        <w:rPr>
          <w:rFonts w:ascii="Arial" w:hAnsi="Arial" w:cs="Arial"/>
          <w:b/>
          <w:sz w:val="24"/>
          <w:szCs w:val="24"/>
        </w:rPr>
        <w:t>4.-</w:t>
      </w:r>
      <w:r>
        <w:rPr>
          <w:rFonts w:ascii="Arial" w:hAnsi="Arial" w:cs="Arial"/>
          <w:sz w:val="24"/>
          <w:szCs w:val="24"/>
        </w:rPr>
        <w:t xml:space="preserve"> Copia simple de nombramiento expedido a favor del actor como Agente de la Policía Judicial de la entonces Procuraduría General de Justicia del Estado, de fecha veinte de junio de mil novecientos ochenta y ocho (20/06/1988); </w:t>
      </w:r>
      <w:r w:rsidRPr="006B3F38">
        <w:rPr>
          <w:rFonts w:ascii="Arial" w:hAnsi="Arial" w:cs="Arial"/>
          <w:b/>
          <w:sz w:val="24"/>
          <w:szCs w:val="24"/>
        </w:rPr>
        <w:t>5.-</w:t>
      </w:r>
      <w:r>
        <w:rPr>
          <w:rFonts w:ascii="Arial" w:hAnsi="Arial" w:cs="Arial"/>
          <w:sz w:val="24"/>
          <w:szCs w:val="24"/>
        </w:rPr>
        <w:t xml:space="preserve"> Original de nombramiento expedido a favor del actor como Agente de la Policía Judicial de la entonces Procuraduría General de Justicia del Estado, de fecha veinte de diciembre de mil novecientos ochenta y ocho (20/12/1988); </w:t>
      </w:r>
      <w:r w:rsidRPr="00D2083F">
        <w:rPr>
          <w:rFonts w:ascii="Arial" w:hAnsi="Arial" w:cs="Arial"/>
          <w:b/>
          <w:sz w:val="24"/>
          <w:szCs w:val="24"/>
        </w:rPr>
        <w:t>6.-</w:t>
      </w:r>
      <w:r>
        <w:rPr>
          <w:rFonts w:ascii="Arial" w:hAnsi="Arial" w:cs="Arial"/>
          <w:sz w:val="24"/>
          <w:szCs w:val="24"/>
        </w:rPr>
        <w:t xml:space="preserve"> Copia simple de nombramiento del actor como Jefe de Grupo de la Policía Judicial del </w:t>
      </w:r>
      <w:r>
        <w:rPr>
          <w:rFonts w:ascii="Arial" w:hAnsi="Arial" w:cs="Arial"/>
          <w:sz w:val="24"/>
          <w:szCs w:val="24"/>
        </w:rPr>
        <w:lastRenderedPageBreak/>
        <w:t>Estado, el día seis de marzo del año dos mil (06/03/2000)</w:t>
      </w:r>
      <w:r w:rsidRPr="00D2083F">
        <w:rPr>
          <w:rFonts w:ascii="Arial" w:hAnsi="Arial" w:cs="Arial"/>
          <w:b/>
          <w:sz w:val="24"/>
          <w:szCs w:val="24"/>
        </w:rPr>
        <w:t>; 7.-</w:t>
      </w:r>
      <w:r>
        <w:rPr>
          <w:rFonts w:ascii="Arial" w:hAnsi="Arial" w:cs="Arial"/>
          <w:sz w:val="24"/>
          <w:szCs w:val="24"/>
        </w:rPr>
        <w:t xml:space="preserve"> Copia simple de nombramiento del actor con el puesto de administrativo de la Agencia Estatal de la Fiscalía General del Estado, con fecha dieciséis de mayo de dos mil dieciocho (16/05/2018); </w:t>
      </w:r>
      <w:r w:rsidRPr="004B074C">
        <w:rPr>
          <w:rFonts w:ascii="Arial" w:hAnsi="Arial" w:cs="Arial"/>
          <w:b/>
          <w:sz w:val="24"/>
          <w:szCs w:val="24"/>
        </w:rPr>
        <w:t>8.-</w:t>
      </w:r>
      <w:r>
        <w:rPr>
          <w:rFonts w:ascii="Arial" w:hAnsi="Arial" w:cs="Arial"/>
          <w:sz w:val="24"/>
          <w:szCs w:val="24"/>
        </w:rPr>
        <w:t xml:space="preserve"> Copia simple de acuse de recibo por jubilación expedido con fecha veinticuatro de mayo de dos mil dieciocho (24/05/2018), por personal del Departamento Jurídico de la Oficina de Pensiones del Estado de Oaxaca.</w:t>
      </w:r>
    </w:p>
    <w:p w:rsidR="00322F8D" w:rsidRDefault="00322F8D" w:rsidP="00322F8D">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Consejo de Pensiones del Estado de Oaxaca, se le admitieron las </w:t>
      </w:r>
      <w:r w:rsidRPr="0057757D">
        <w:rPr>
          <w:rFonts w:ascii="Arial" w:hAnsi="Arial" w:cs="Arial"/>
          <w:b/>
          <w:sz w:val="24"/>
          <w:szCs w:val="24"/>
        </w:rPr>
        <w:t>DOCUMENTALES</w:t>
      </w:r>
      <w:r>
        <w:rPr>
          <w:rFonts w:ascii="Arial" w:hAnsi="Arial" w:cs="Arial"/>
          <w:sz w:val="24"/>
          <w:szCs w:val="24"/>
        </w:rPr>
        <w:t xml:space="preserve"> consistentes en: </w:t>
      </w:r>
      <w:r>
        <w:rPr>
          <w:rFonts w:ascii="Arial" w:hAnsi="Arial" w:cs="Arial"/>
          <w:b/>
          <w:sz w:val="24"/>
          <w:szCs w:val="24"/>
        </w:rPr>
        <w:t xml:space="preserve">1.- </w:t>
      </w:r>
      <w:r>
        <w:rPr>
          <w:rFonts w:ascii="Arial" w:hAnsi="Arial" w:cs="Arial"/>
          <w:sz w:val="24"/>
          <w:szCs w:val="24"/>
        </w:rPr>
        <w:t xml:space="preserve">Copia certificada de Poder General otorgado por dicho Consejo, a favor del C.P.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sidRPr="0024278D">
        <w:rPr>
          <w:rFonts w:ascii="Arial" w:hAnsi="Arial" w:cs="Arial"/>
          <w:sz w:val="24"/>
          <w:szCs w:val="24"/>
        </w:rPr>
        <w:t>C</w:t>
      </w:r>
      <w:r>
        <w:rPr>
          <w:rFonts w:ascii="Arial" w:hAnsi="Arial" w:cs="Arial"/>
          <w:sz w:val="24"/>
          <w:szCs w:val="24"/>
        </w:rPr>
        <w:t xml:space="preserve">opias certificadas de oficio </w:t>
      </w:r>
      <w:r w:rsidR="004F16BF">
        <w:rPr>
          <w:rFonts w:ascii="Arial" w:hAnsi="Arial" w:cs="Arial"/>
          <w:sz w:val="24"/>
          <w:szCs w:val="24"/>
        </w:rPr>
        <w:t>OP/DG/****/2018</w:t>
      </w:r>
      <w:r>
        <w:rPr>
          <w:rFonts w:ascii="Arial" w:hAnsi="Arial" w:cs="Arial"/>
          <w:sz w:val="24"/>
          <w:szCs w:val="24"/>
        </w:rPr>
        <w:t xml:space="preserve">, expedido con fecha </w:t>
      </w:r>
      <w:r w:rsidR="004F16BF">
        <w:rPr>
          <w:rFonts w:ascii="Arial" w:hAnsi="Arial" w:cs="Arial"/>
          <w:sz w:val="24"/>
          <w:szCs w:val="24"/>
        </w:rPr>
        <w:t>***** de ***** de dos mil dieciocho (**/**/2018)</w:t>
      </w:r>
      <w:r>
        <w:rPr>
          <w:rFonts w:ascii="Arial" w:hAnsi="Arial" w:cs="Arial"/>
          <w:sz w:val="24"/>
          <w:szCs w:val="24"/>
        </w:rPr>
        <w:t xml:space="preserve"> y su respectiva notificación;  Nombramiento expedido a favor del actor con fecha dieciséis de mayo de dos mil dieciocho (16/05/2018); Constancia de no adeudos del actor a la dirección de Recursos Humanos.</w:t>
      </w:r>
    </w:p>
    <w:p w:rsidR="00322F8D" w:rsidRDefault="00322F8D" w:rsidP="00322F8D">
      <w:pPr>
        <w:spacing w:line="360" w:lineRule="auto"/>
        <w:ind w:firstLine="708"/>
        <w:jc w:val="both"/>
        <w:rPr>
          <w:rFonts w:ascii="Arial" w:hAnsi="Arial" w:cs="Arial"/>
          <w:sz w:val="24"/>
          <w:szCs w:val="24"/>
        </w:rPr>
      </w:pPr>
      <w:r>
        <w:rPr>
          <w:rFonts w:ascii="Arial" w:hAnsi="Arial" w:cs="Arial"/>
          <w:sz w:val="24"/>
          <w:szCs w:val="24"/>
        </w:rPr>
        <w:t xml:space="preserve"> </w:t>
      </w:r>
      <w:r w:rsidRPr="00844788">
        <w:rPr>
          <w:rFonts w:ascii="Arial" w:hAnsi="Arial" w:cs="Arial"/>
          <w:sz w:val="24"/>
          <w:szCs w:val="24"/>
        </w:rPr>
        <w:t xml:space="preserve">Todos los documentos </w:t>
      </w:r>
      <w:r>
        <w:rPr>
          <w:rFonts w:ascii="Arial" w:hAnsi="Arial" w:cs="Arial"/>
          <w:sz w:val="24"/>
          <w:szCs w:val="24"/>
        </w:rPr>
        <w:t xml:space="preserve">originales y certificados </w:t>
      </w:r>
      <w:r w:rsidRPr="00844788">
        <w:rPr>
          <w:rFonts w:ascii="Arial" w:hAnsi="Arial" w:cs="Arial"/>
          <w:sz w:val="24"/>
          <w:szCs w:val="24"/>
        </w:rPr>
        <w:t>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 xml:space="preserve">, </w:t>
      </w:r>
      <w:r>
        <w:rPr>
          <w:rFonts w:ascii="Arial" w:hAnsi="Arial" w:cs="Arial"/>
          <w:sz w:val="24"/>
          <w:szCs w:val="24"/>
        </w:rPr>
        <w:t xml:space="preserve">los documentos originales porque en ellos se advierte el nombre, firma, cargo y sello de la dependencia a la que pertenecen las personas que los emiten; los restantes documentos certificados, fueron cotejados por personas con plenas facultades para ello, como son el Notario Público Número Noventa en el Estado y el Jefe del Departamento Jurídico de la Oficina de Pensiones, lo anterior de conformidad con lo dispuesto en los artículos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y por lo que respecta a las copias simples del acto impugnado remitidas por el actor, éstas fueron perfeccionadas, pues en las copias certificadas remitidas por la demandada aparecen los mismos documentos, de ahí que su existencia y la veracidad del contenido haya quedado de manifiesto. Sirve de apoyo a lo anterior </w:t>
      </w: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 xml:space="preserve">QUE CORRESPONDE A LO REPRESENTADO EN ELLAS”, </w:t>
      </w:r>
      <w:r w:rsidRPr="001042B6">
        <w:rPr>
          <w:rFonts w:ascii="Arial" w:hAnsi="Arial" w:cs="Arial"/>
          <w:i/>
          <w:sz w:val="24"/>
          <w:szCs w:val="24"/>
        </w:rPr>
        <w:lastRenderedPageBreak/>
        <w:t>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322F8D" w:rsidRDefault="00322F8D" w:rsidP="00322F8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las restante copias simples remitidas por el actor, se les otorga </w:t>
      </w:r>
      <w:r w:rsidRPr="00FE31DD">
        <w:rPr>
          <w:rFonts w:ascii="Arial" w:hAnsi="Arial" w:cs="Arial"/>
          <w:b/>
          <w:sz w:val="24"/>
          <w:szCs w:val="24"/>
        </w:rPr>
        <w:t>valor probatorio indiciario</w:t>
      </w:r>
      <w:r>
        <w:rPr>
          <w:rFonts w:ascii="Arial" w:hAnsi="Arial" w:cs="Arial"/>
          <w:sz w:val="24"/>
          <w:szCs w:val="24"/>
        </w:rPr>
        <w:t xml:space="preserve">, pues no son documentos aislados, por el contrario se encuentran relacionados con las restantes probanzas a las que se le otorgó valor probatorio pleno, pues en ellas se advierte al existencia de dichos documentos, de ahí el valor </w:t>
      </w:r>
      <w:r w:rsidRPr="00E92791">
        <w:rPr>
          <w:rFonts w:ascii="Arial" w:hAnsi="Arial" w:cs="Arial"/>
          <w:sz w:val="24"/>
          <w:szCs w:val="24"/>
        </w:rPr>
        <w:t>otorgado,</w:t>
      </w:r>
      <w:r>
        <w:rPr>
          <w:rFonts w:ascii="Arial" w:hAnsi="Arial" w:cs="Arial"/>
          <w:sz w:val="24"/>
          <w:szCs w:val="24"/>
        </w:rPr>
        <w:t xml:space="preserve">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w:t>
      </w:r>
      <w:r w:rsidRPr="001042B6">
        <w:rPr>
          <w:rFonts w:ascii="Arial" w:hAnsi="Arial" w:cs="Arial"/>
          <w:sz w:val="24"/>
          <w:szCs w:val="24"/>
        </w:rPr>
        <w:t xml:space="preserve"> cumplen con los requisitos de validez y eficacia, quedando de manifiesto la veracidad de su contenido,</w:t>
      </w:r>
      <w:r>
        <w:rPr>
          <w:rFonts w:ascii="Arial" w:hAnsi="Arial" w:cs="Arial"/>
          <w:sz w:val="24"/>
          <w:szCs w:val="24"/>
        </w:rPr>
        <w:t xml:space="preserve"> </w:t>
      </w:r>
      <w:r w:rsidRPr="001042B6">
        <w:rPr>
          <w:rFonts w:ascii="Arial" w:hAnsi="Arial" w:cs="Arial"/>
          <w:sz w:val="24"/>
          <w:szCs w:val="24"/>
        </w:rPr>
        <w:t>de conformidad a lo que establece el citado artículo 203 fracción I de la Ley de Procedimiento y Justicia Administrativa para el Estado de Oaxaca.</w:t>
      </w:r>
    </w:p>
    <w:p w:rsidR="00322F8D" w:rsidRPr="001042B6" w:rsidRDefault="00322F8D" w:rsidP="00322F8D">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w:t>
      </w:r>
      <w:r>
        <w:rPr>
          <w:rFonts w:ascii="Arial" w:hAnsi="Arial" w:cs="Arial"/>
          <w:sz w:val="24"/>
          <w:szCs w:val="24"/>
        </w:rPr>
        <w:t>s</w:t>
      </w:r>
      <w:r w:rsidRPr="001042B6">
        <w:rPr>
          <w:rFonts w:ascii="Arial" w:hAnsi="Arial" w:cs="Arial"/>
          <w:sz w:val="24"/>
          <w:szCs w:val="24"/>
        </w:rPr>
        <w:t xml:space="preserve"> por la actora y demandada, se constituye de la totalidad de las pruebas recabadas en el presente Juicio, y con ellas se confirma el contenido del enjuiciamiento, porque los hechos contenidos en las documentales son afirmaciones expresadas por ellas. </w:t>
      </w:r>
    </w:p>
    <w:p w:rsidR="00322F8D" w:rsidRPr="001042B6" w:rsidRDefault="00322F8D" w:rsidP="00322F8D">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 xml:space="preserve">LA PRESUNCIONAL LEGAL Y HUMANA también ofrecida por la actora y autoridad demandada, se basa en los principios que las rigen, consistentes en determinar la consecuencia que la ley deduce de un hecho conocido, para averiguar la verdad de otro </w:t>
      </w:r>
      <w:r>
        <w:rPr>
          <w:rFonts w:ascii="Arial" w:hAnsi="Arial" w:cs="Arial"/>
          <w:sz w:val="24"/>
          <w:szCs w:val="24"/>
        </w:rPr>
        <w:t>desc</w:t>
      </w:r>
      <w:r w:rsidRPr="001042B6">
        <w:rPr>
          <w:rFonts w:ascii="Arial" w:hAnsi="Arial" w:cs="Arial"/>
          <w:sz w:val="24"/>
          <w:szCs w:val="24"/>
        </w:rPr>
        <w:t xml:space="preserve">onocido, y que de no ofrecerse prueba en contrario, </w:t>
      </w:r>
      <w:r>
        <w:rPr>
          <w:rFonts w:ascii="Arial" w:hAnsi="Arial" w:cs="Arial"/>
          <w:sz w:val="24"/>
          <w:szCs w:val="24"/>
        </w:rPr>
        <w:t xml:space="preserve">queda </w:t>
      </w:r>
      <w:r w:rsidRPr="001042B6">
        <w:rPr>
          <w:rFonts w:ascii="Arial" w:hAnsi="Arial" w:cs="Arial"/>
          <w:sz w:val="24"/>
          <w:szCs w:val="24"/>
        </w:rPr>
        <w:t>acredita</w:t>
      </w:r>
      <w:r>
        <w:rPr>
          <w:rFonts w:ascii="Arial" w:hAnsi="Arial" w:cs="Arial"/>
          <w:sz w:val="24"/>
          <w:szCs w:val="24"/>
        </w:rPr>
        <w:t>do</w:t>
      </w:r>
      <w:r w:rsidRPr="001042B6">
        <w:rPr>
          <w:rFonts w:ascii="Arial" w:hAnsi="Arial" w:cs="Arial"/>
          <w:sz w:val="24"/>
          <w:szCs w:val="24"/>
        </w:rPr>
        <w:t xml:space="preserve"> el hecho </w:t>
      </w:r>
      <w:r>
        <w:rPr>
          <w:rFonts w:ascii="Arial" w:hAnsi="Arial" w:cs="Arial"/>
          <w:sz w:val="24"/>
          <w:szCs w:val="24"/>
        </w:rPr>
        <w:t>cuestionado</w:t>
      </w:r>
      <w:r w:rsidRPr="001042B6">
        <w:rPr>
          <w:rFonts w:ascii="Arial" w:hAnsi="Arial" w:cs="Arial"/>
          <w:sz w:val="24"/>
          <w:szCs w:val="24"/>
        </w:rPr>
        <w:t>.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2F3C2D">
        <w:rPr>
          <w:rFonts w:ascii="Arial" w:hAnsi="Arial" w:cs="Arial"/>
          <w:sz w:val="24"/>
          <w:szCs w:val="24"/>
        </w:rPr>
        <w:t xml:space="preserve">- - - - </w:t>
      </w:r>
    </w:p>
    <w:p w:rsidR="00322F8D" w:rsidRPr="001042B6" w:rsidRDefault="00322F8D" w:rsidP="00322F8D">
      <w:pPr>
        <w:tabs>
          <w:tab w:val="center" w:pos="4574"/>
        </w:tabs>
        <w:spacing w:line="360" w:lineRule="auto"/>
        <w:ind w:firstLine="708"/>
        <w:jc w:val="both"/>
        <w:rPr>
          <w:rFonts w:cs="Arial"/>
          <w:sz w:val="24"/>
        </w:rPr>
      </w:pPr>
      <w:r w:rsidRPr="001042B6">
        <w:rPr>
          <w:rFonts w:ascii="Arial" w:hAnsi="Arial" w:cs="Arial"/>
          <w:b/>
          <w:sz w:val="24"/>
          <w:szCs w:val="24"/>
        </w:rPr>
        <w:lastRenderedPageBreak/>
        <w:t xml:space="preserve">TERCERO.- </w:t>
      </w:r>
      <w:r w:rsidRPr="001042B6">
        <w:rPr>
          <w:rFonts w:ascii="Arial" w:hAnsi="Arial" w:cs="Arial"/>
          <w:sz w:val="24"/>
        </w:rPr>
        <w:t xml:space="preserve">Esta Juzgadora, no realiza la transcripción de los agravios vertidos por la </w:t>
      </w:r>
      <w:r>
        <w:rPr>
          <w:rFonts w:ascii="Arial" w:hAnsi="Arial" w:cs="Arial"/>
          <w:sz w:val="24"/>
        </w:rPr>
        <w:t xml:space="preserve">parte </w:t>
      </w:r>
      <w:r w:rsidRPr="001042B6">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xml:space="preserve">.- - - - - - - - - - - - - - - - - - - - - - - - - - - - - - - - - - - </w:t>
      </w:r>
      <w:r w:rsidR="000C4864">
        <w:rPr>
          <w:rFonts w:ascii="Arial" w:hAnsi="Arial" w:cs="Arial"/>
          <w:sz w:val="24"/>
        </w:rPr>
        <w:t>- - - - - - - - - - - - - - - -</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l actor </w:t>
      </w:r>
      <w:r w:rsidR="004F16BF">
        <w:rPr>
          <w:rFonts w:ascii="Arial" w:hAnsi="Arial" w:cs="Arial"/>
          <w:sz w:val="24"/>
          <w:szCs w:val="24"/>
        </w:rPr>
        <w:t>***** *****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no obstante que la autoridad </w:t>
      </w:r>
      <w:r w:rsidRPr="001042B6">
        <w:rPr>
          <w:rFonts w:ascii="Arial" w:hAnsi="Arial" w:cs="Arial"/>
          <w:sz w:val="24"/>
          <w:szCs w:val="24"/>
        </w:rPr>
        <w:t xml:space="preserve">demandada </w:t>
      </w:r>
      <w:r>
        <w:rPr>
          <w:rFonts w:ascii="Arial" w:hAnsi="Arial" w:cs="Arial"/>
          <w:sz w:val="24"/>
          <w:szCs w:val="24"/>
        </w:rPr>
        <w:t xml:space="preserve">dio respuesta a su petición de trece de noviembre de dos mil dieciocho (13/11/2018), lo cierto es que negó lo solicitado, es decir, la inclusión en su pensión de las prestaciones que se otorgan a trabajadores de base y la eliminación del descuento del 9% de la aportación para el fondo de pensiones,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rsidR="00322F8D" w:rsidRPr="001042B6" w:rsidRDefault="00322F8D" w:rsidP="00322F8D">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 autoridad demandada</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de la Oficina de Pensiones, remitió copia certificada del Poder General para pleitos y cobranzas otorgado por el Consejo Directivo de Pensiones, </w:t>
      </w:r>
      <w:r w:rsidRPr="001042B6">
        <w:rPr>
          <w:rFonts w:ascii="Arial" w:hAnsi="Arial" w:cs="Arial"/>
          <w:sz w:val="24"/>
        </w:rPr>
        <w:t>documento con valor probatorio pleno</w:t>
      </w:r>
      <w:r>
        <w:rPr>
          <w:rFonts w:ascii="Arial" w:hAnsi="Arial" w:cs="Arial"/>
          <w:sz w:val="24"/>
        </w:rPr>
        <w:t>,</w:t>
      </w:r>
      <w:r w:rsidRPr="001042B6">
        <w:rPr>
          <w:rFonts w:ascii="Arial" w:hAnsi="Arial" w:cs="Arial"/>
          <w:sz w:val="24"/>
        </w:rPr>
        <w:t xml:space="preserve"> como se expuso en el considerando correspondiente, por lo que sin duda colmó los requisitos dispuestos en el numeral 151 referido y por ende, acreditando su personalidad.- - - - - - - - - - </w:t>
      </w:r>
      <w:r w:rsidR="00A83362">
        <w:rPr>
          <w:rFonts w:ascii="Arial" w:hAnsi="Arial" w:cs="Arial"/>
          <w:sz w:val="24"/>
        </w:rPr>
        <w:t xml:space="preserve">- - - - - - - - - - - </w:t>
      </w:r>
    </w:p>
    <w:p w:rsidR="00322F8D" w:rsidRPr="001042B6" w:rsidRDefault="00322F8D" w:rsidP="00322F8D">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w:t>
      </w:r>
      <w:r w:rsidRPr="001042B6">
        <w:rPr>
          <w:rFonts w:ascii="Arial" w:hAnsi="Arial" w:cs="Arial"/>
          <w:sz w:val="24"/>
          <w:szCs w:val="24"/>
        </w:rPr>
        <w:lastRenderedPageBreak/>
        <w:t xml:space="preserve">161 </w:t>
      </w:r>
      <w:r w:rsidRPr="009D1078">
        <w:rPr>
          <w:rFonts w:ascii="Arial" w:hAnsi="Arial" w:cs="Arial"/>
          <w:sz w:val="24"/>
          <w:szCs w:val="24"/>
        </w:rPr>
        <w:t>y 162, de la Ley de Procedimiento y Justicia Administrativa para el Estado de Oaxaca.</w:t>
      </w:r>
      <w:r w:rsidRPr="001042B6">
        <w:rPr>
          <w:rFonts w:ascii="Arial" w:hAnsi="Arial" w:cs="Arial"/>
          <w:sz w:val="24"/>
          <w:szCs w:val="24"/>
        </w:rPr>
        <w:t xml:space="preserve"> </w:t>
      </w:r>
    </w:p>
    <w:p w:rsidR="00322F8D" w:rsidRPr="001042B6" w:rsidRDefault="00322F8D" w:rsidP="00322F8D">
      <w:pPr>
        <w:pStyle w:val="corte4fondoCarCarCar"/>
        <w:spacing w:before="240"/>
        <w:ind w:firstLine="708"/>
        <w:rPr>
          <w:rFonts w:cs="Arial"/>
          <w:bCs/>
          <w:sz w:val="24"/>
        </w:rPr>
      </w:pPr>
      <w:r w:rsidRPr="001042B6">
        <w:rPr>
          <w:rFonts w:cs="Arial"/>
          <w:bCs/>
          <w:sz w:val="24"/>
        </w:rPr>
        <w:t xml:space="preserve">La autoridad demanda </w:t>
      </w:r>
      <w:r>
        <w:rPr>
          <w:rFonts w:cs="Arial"/>
          <w:bCs/>
          <w:sz w:val="24"/>
        </w:rPr>
        <w:t>considera que en el presente asunto se actualiza la causal de improcedencia del Juicio prevista en la fracción IX del artículo 161 de la Ley de Justicia Administrativa para el Estado de Oaxaca, y las de sobreseimiento del Juicio previstas en las fracciones V y VI del artículo 162 de la referida Ley, empero, todos sus argumentos se encaminan a controvertir el tema de fondo del presente asunto, premisas de las que esta Juzgadora se encargará en líneas siguientes, por lo que al no advertirse alguna otra causa que impida entrar al estudio de fondo del presente asunto, NO SE SOBRESEE EL PRESENTE JUICIO DE NULIDAD</w:t>
      </w:r>
      <w:r w:rsidRPr="001042B6">
        <w:rPr>
          <w:rFonts w:cs="Arial"/>
          <w:bCs/>
          <w:sz w:val="24"/>
        </w:rPr>
        <w:t xml:space="preserve">.- - - </w:t>
      </w:r>
      <w:r>
        <w:rPr>
          <w:rFonts w:cs="Arial"/>
          <w:bCs/>
          <w:sz w:val="24"/>
        </w:rPr>
        <w:t xml:space="preserve">- - - - - - - - - - </w:t>
      </w:r>
    </w:p>
    <w:p w:rsidR="00322F8D"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Pr>
          <w:rFonts w:ascii="Arial" w:hAnsi="Arial" w:cs="Arial"/>
          <w:sz w:val="24"/>
          <w:szCs w:val="24"/>
        </w:rPr>
        <w:t xml:space="preserve">El presente asunto se centra en resolver dos premisas propuestas por el actor, de acuerdo al contenido de su demandada, </w:t>
      </w:r>
      <w:r w:rsidRPr="00A9217E">
        <w:rPr>
          <w:rFonts w:ascii="Arial" w:hAnsi="Arial" w:cs="Arial"/>
          <w:b/>
          <w:sz w:val="24"/>
          <w:szCs w:val="24"/>
        </w:rPr>
        <w:t>la primera</w:t>
      </w:r>
      <w:r>
        <w:rPr>
          <w:rFonts w:ascii="Arial" w:hAnsi="Arial" w:cs="Arial"/>
          <w:sz w:val="24"/>
          <w:szCs w:val="24"/>
        </w:rPr>
        <w:t>, consiste en determinar si resulta procedente el pago de la prestaciones consistentes en previsión social, despensa, vida cara, quinquenios, aguinaldo, estimulo del día de jubilado, y canasta navideña, las cuales únicamente se encuentran contempladas para los trabajadores de base</w:t>
      </w:r>
      <w:r w:rsidRPr="00A9217E">
        <w:rPr>
          <w:rFonts w:ascii="Arial" w:hAnsi="Arial" w:cs="Arial"/>
          <w:b/>
          <w:sz w:val="24"/>
          <w:szCs w:val="24"/>
        </w:rPr>
        <w:t xml:space="preserve">; y la </w:t>
      </w:r>
      <w:r>
        <w:rPr>
          <w:rFonts w:ascii="Arial" w:hAnsi="Arial" w:cs="Arial"/>
          <w:b/>
          <w:sz w:val="24"/>
          <w:szCs w:val="24"/>
        </w:rPr>
        <w:t>segunda</w:t>
      </w:r>
      <w:r>
        <w:rPr>
          <w:rFonts w:ascii="Arial" w:hAnsi="Arial" w:cs="Arial"/>
          <w:sz w:val="24"/>
          <w:szCs w:val="24"/>
        </w:rPr>
        <w:t>, versa sobre la ilegalidad del descuento impuesto y que consiste en el 9% de su pensión, por concepto de cuota al fondo de pensiones.</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574909">
        <w:rPr>
          <w:rFonts w:ascii="Arial" w:hAnsi="Arial" w:cs="Arial"/>
          <w:sz w:val="24"/>
          <w:szCs w:val="24"/>
        </w:rPr>
        <w:t>Respecto a la</w:t>
      </w:r>
      <w:r w:rsidRPr="00497216">
        <w:rPr>
          <w:rFonts w:ascii="Arial" w:hAnsi="Arial" w:cs="Arial"/>
          <w:b/>
          <w:sz w:val="24"/>
          <w:szCs w:val="24"/>
        </w:rPr>
        <w:t xml:space="preserve"> </w:t>
      </w:r>
      <w:r w:rsidRPr="00574909">
        <w:rPr>
          <w:rFonts w:ascii="Arial" w:hAnsi="Arial" w:cs="Arial"/>
          <w:b/>
          <w:sz w:val="24"/>
          <w:szCs w:val="24"/>
          <w:u w:val="single"/>
        </w:rPr>
        <w:t>primera premisa</w:t>
      </w:r>
      <w:r w:rsidRPr="00497216">
        <w:rPr>
          <w:rFonts w:ascii="Arial" w:hAnsi="Arial" w:cs="Arial"/>
          <w:sz w:val="24"/>
          <w:szCs w:val="24"/>
        </w:rPr>
        <w:t>,</w:t>
      </w:r>
      <w:r>
        <w:rPr>
          <w:rFonts w:ascii="Arial" w:hAnsi="Arial" w:cs="Arial"/>
          <w:sz w:val="24"/>
          <w:szCs w:val="24"/>
        </w:rPr>
        <w:t xml:space="preserve"> e</w:t>
      </w:r>
      <w:r w:rsidRPr="001042B6">
        <w:rPr>
          <w:rFonts w:ascii="Arial" w:hAnsi="Arial" w:cs="Arial"/>
          <w:sz w:val="24"/>
          <w:szCs w:val="24"/>
        </w:rPr>
        <w:t xml:space="preserve">l </w:t>
      </w:r>
      <w:r w:rsidRPr="009035DC">
        <w:rPr>
          <w:rFonts w:ascii="Arial" w:hAnsi="Arial" w:cs="Arial"/>
          <w:sz w:val="24"/>
          <w:szCs w:val="24"/>
        </w:rPr>
        <w:t xml:space="preserve">punto medular </w:t>
      </w:r>
      <w:r>
        <w:rPr>
          <w:rFonts w:ascii="Arial" w:hAnsi="Arial" w:cs="Arial"/>
          <w:sz w:val="24"/>
          <w:szCs w:val="24"/>
        </w:rPr>
        <w:t>es</w:t>
      </w:r>
      <w:r w:rsidRPr="009035DC">
        <w:rPr>
          <w:rFonts w:ascii="Arial" w:hAnsi="Arial" w:cs="Arial"/>
          <w:sz w:val="24"/>
          <w:szCs w:val="24"/>
        </w:rPr>
        <w:t xml:space="preserve"> determinar si resulta </w:t>
      </w:r>
      <w:r w:rsidRPr="003B0F52">
        <w:rPr>
          <w:rFonts w:ascii="Arial" w:hAnsi="Arial" w:cs="Arial"/>
          <w:sz w:val="24"/>
          <w:szCs w:val="24"/>
        </w:rPr>
        <w:t xml:space="preserve">procedente el pago de las prestaciones solicitadas por </w:t>
      </w:r>
      <w:r>
        <w:rPr>
          <w:rFonts w:ascii="Arial" w:hAnsi="Arial" w:cs="Arial"/>
          <w:sz w:val="24"/>
          <w:szCs w:val="24"/>
        </w:rPr>
        <w:t>el</w:t>
      </w:r>
      <w:r w:rsidRPr="003B0F52">
        <w:rPr>
          <w:rFonts w:ascii="Arial" w:hAnsi="Arial" w:cs="Arial"/>
          <w:sz w:val="24"/>
          <w:szCs w:val="24"/>
        </w:rPr>
        <w:t xml:space="preserve"> actor (trabajador de confianza),</w:t>
      </w:r>
      <w:r>
        <w:rPr>
          <w:rFonts w:ascii="Arial" w:hAnsi="Arial" w:cs="Arial"/>
          <w:sz w:val="24"/>
          <w:szCs w:val="24"/>
        </w:rPr>
        <w:t xml:space="preserve"> consistentes en previsión social múltiple, despensa, vida cara, quinquenios, aguinaldo, estimulo del día del jubilado, y canasta navideña, percepciones contempladas únicamente para los trabajadores de base en el artículo 54 de la Ley de Pensiones para los Trabajadores del Gobierno del Estado, que a letra dice:</w:t>
      </w:r>
    </w:p>
    <w:p w:rsidR="00322F8D" w:rsidRPr="00BE7257" w:rsidRDefault="00322F8D" w:rsidP="00322F8D">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322F8D" w:rsidRPr="00BE7257" w:rsidRDefault="00322F8D" w:rsidP="00322F8D">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322F8D" w:rsidRPr="00BE7257" w:rsidRDefault="00322F8D" w:rsidP="00322F8D">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322F8D" w:rsidRPr="00BE7257" w:rsidRDefault="00322F8D" w:rsidP="00322F8D">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322F8D" w:rsidRPr="00BE7257" w:rsidRDefault="00322F8D" w:rsidP="00322F8D">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lastRenderedPageBreak/>
        <w:t>Los montos de las prestaciones señaladas en las fracciones anteriores serán determinados por acuerdo del Consejo Directivo, mismos que no deberán ser superiores a los montos que se otorguen a los trabajadores activos.</w:t>
      </w:r>
    </w:p>
    <w:p w:rsidR="00322F8D" w:rsidRDefault="00322F8D" w:rsidP="00322F8D">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su contenido se advierte, que dicho dispositivo legal únicamente contempla el pago de las percepciones para los jubilados de base, no así para los de confianza, como es el caso, por lo que ésta Juzgadora procederá a analizar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como en el caso del actor,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En base a dichas premisas, esta Juzgadora procede al análisis del derecho a la seguridad social de los trabajadores de confianza, considerando que el artículo 123 apartado B fracción XIV, de la Carta Magna establece:</w:t>
      </w:r>
    </w:p>
    <w:p w:rsidR="00322F8D" w:rsidRPr="00404770" w:rsidRDefault="00322F8D" w:rsidP="00322F8D">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322F8D" w:rsidRPr="00404770" w:rsidRDefault="00322F8D" w:rsidP="00322F8D">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lastRenderedPageBreak/>
        <w:t>El Congreso de la Unión, sin contravenir a las bases siguientes deberá expedir leyes sobre el trabajo, las cuales regirán:….</w:t>
      </w:r>
    </w:p>
    <w:p w:rsidR="00322F8D" w:rsidRPr="00404770" w:rsidRDefault="00322F8D" w:rsidP="00322F8D">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322F8D" w:rsidRPr="00404770" w:rsidRDefault="00322F8D" w:rsidP="00322F8D">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rsidR="00322F8D" w:rsidRDefault="00322F8D" w:rsidP="00322F8D">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la máxima legislación del Estado Mexicano, contempla la existencia de los trabajadores con la categoría de confianza, los cuáles considera que disfrutaran de las medidas de protección al salario; y en el tema que nos ocupa, gozarán de los beneficios de la seguridad social, es decir, que en la Carta Magna se protege el derecho humano a la seguridad social de todos los trabajadores incluidos los de confianza, pues no hace distinción alguna.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deba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como lo prevé el artículo 1 segundo párrafo de la Constitución Política de los Estados Unidos Mexicanos; pues ha sido criterio del más alto Tribunal del País, que el progreso implica que el disfrute de los Derechos Humanos 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Lo anterior, tomando en consideración que en el artículo 3 de la Ley de Pensiones para los Empleados del Gobierno del Estado de Oaxaca (vigente en la fecha del primer nombramiento del actor), </w:t>
      </w:r>
      <w:r w:rsidRPr="00101EBB">
        <w:rPr>
          <w:rFonts w:ascii="Arial" w:hAnsi="Arial" w:cs="Arial"/>
          <w:b/>
          <w:sz w:val="24"/>
          <w:szCs w:val="24"/>
        </w:rPr>
        <w:t xml:space="preserve">se había alcanzado el </w:t>
      </w:r>
      <w:r w:rsidRPr="00101EBB">
        <w:rPr>
          <w:rFonts w:ascii="Arial" w:hAnsi="Arial" w:cs="Arial"/>
          <w:b/>
          <w:sz w:val="24"/>
          <w:szCs w:val="24"/>
        </w:rPr>
        <w:lastRenderedPageBreak/>
        <w:t>estándar de no distinción entre los trabajadores de base y de confianza</w:t>
      </w:r>
      <w:r>
        <w:rPr>
          <w:rFonts w:ascii="Arial" w:hAnsi="Arial" w:cs="Arial"/>
          <w:b/>
          <w:sz w:val="24"/>
          <w:szCs w:val="24"/>
        </w:rPr>
        <w:t>,</w:t>
      </w:r>
      <w:r>
        <w:rPr>
          <w:rFonts w:ascii="Arial" w:hAnsi="Arial" w:cs="Arial"/>
          <w:sz w:val="24"/>
          <w:szCs w:val="24"/>
        </w:rPr>
        <w:t xml:space="preserve">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el actor,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contrario a lo expuesto por la autoridad demandada, pues los priva de la protección integral de la seguridad social, consecuentemente, al no haberse otorgado dichas prestaciones al actor, se inobservó  los supuestos del artículo 1 fracción III, de la Ley Federal para Prevenir y Eliminar la discriminación, que para mayor comprensión se transcribe:</w:t>
      </w:r>
    </w:p>
    <w:p w:rsidR="00322F8D" w:rsidRPr="00984554" w:rsidRDefault="00322F8D" w:rsidP="00322F8D">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322F8D" w:rsidRPr="00984554" w:rsidRDefault="00322F8D" w:rsidP="00322F8D">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322F8D" w:rsidRPr="00984554" w:rsidRDefault="00322F8D" w:rsidP="00322F8D">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w:t>
      </w:r>
      <w:r>
        <w:rPr>
          <w:rFonts w:ascii="Arial" w:hAnsi="Arial" w:cs="Arial"/>
          <w:sz w:val="24"/>
          <w:szCs w:val="24"/>
        </w:rPr>
        <w:lastRenderedPageBreak/>
        <w:t xml:space="preserve">Trabajo, Hechos Concretos sobre la Seguridad Social. Suiza, Ginebra, OIT, 2003 visible en </w:t>
      </w:r>
      <w:hyperlink r:id="rId8"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9"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w:t>
      </w:r>
      <w:r>
        <w:rPr>
          <w:rFonts w:ascii="Arial" w:hAnsi="Arial" w:cs="Arial"/>
          <w:sz w:val="24"/>
          <w:szCs w:val="24"/>
        </w:rPr>
        <w:lastRenderedPageBreak/>
        <w:t xml:space="preserve">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 ese derecho humano a</w:t>
      </w:r>
      <w:r>
        <w:rPr>
          <w:rFonts w:ascii="Arial" w:hAnsi="Arial" w:cs="Arial"/>
          <w:sz w:val="24"/>
          <w:szCs w:val="24"/>
        </w:rPr>
        <w:t xml:space="preserve"> la seguridad social de los trabajadores de confianza. </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Por lo que si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lo cierto es, que existe la facultad de que todas las autoridades ordinarias, </w:t>
      </w:r>
      <w:r w:rsidRPr="001042B6">
        <w:rPr>
          <w:rFonts w:ascii="Arial" w:hAnsi="Arial" w:cs="Arial"/>
          <w:b/>
          <w:sz w:val="24"/>
          <w:szCs w:val="24"/>
        </w:rPr>
        <w:t>dejen de aplicar normas inferiores,</w:t>
      </w:r>
      <w:r w:rsidRPr="001042B6">
        <w:rPr>
          <w:rFonts w:ascii="Arial" w:hAnsi="Arial" w:cs="Arial"/>
          <w:sz w:val="24"/>
          <w:szCs w:val="24"/>
        </w:rPr>
        <w:t xml:space="preserve"> dando preferencia a los contenidos de la Constitución y de los tratados en la materia.</w:t>
      </w:r>
    </w:p>
    <w:p w:rsidR="00322F8D"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w:t>
      </w:r>
      <w:r w:rsidRPr="001042B6">
        <w:rPr>
          <w:rFonts w:ascii="Arial" w:hAnsi="Arial" w:cs="Arial"/>
          <w:sz w:val="24"/>
          <w:szCs w:val="24"/>
        </w:rPr>
        <w:lastRenderedPageBreak/>
        <w:t xml:space="preserve">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w:t>
      </w:r>
      <w:r>
        <w:rPr>
          <w:rFonts w:ascii="Arial" w:hAnsi="Arial" w:cs="Arial"/>
          <w:sz w:val="24"/>
          <w:szCs w:val="24"/>
        </w:rPr>
        <w:t>l</w:t>
      </w:r>
      <w:r w:rsidRPr="001042B6">
        <w:rPr>
          <w:rFonts w:ascii="Arial" w:hAnsi="Arial" w:cs="Arial"/>
          <w:sz w:val="24"/>
          <w:szCs w:val="24"/>
        </w:rPr>
        <w:t xml:space="preserve"> actor,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su porción </w:t>
      </w:r>
      <w:r w:rsidRPr="00182625">
        <w:rPr>
          <w:rFonts w:ascii="Arial" w:hAnsi="Arial" w:cs="Arial"/>
          <w:sz w:val="24"/>
          <w:szCs w:val="24"/>
        </w:rPr>
        <w:t>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y </w:t>
      </w:r>
      <w:r w:rsidRPr="00574909">
        <w:rPr>
          <w:rFonts w:ascii="Arial" w:hAnsi="Arial" w:cs="Arial"/>
          <w:sz w:val="24"/>
          <w:szCs w:val="24"/>
        </w:rPr>
        <w:t>canasta navideña, para los trabajadores de base</w:t>
      </w:r>
      <w:r w:rsidRPr="00574909">
        <w:rPr>
          <w:rFonts w:ascii="Arial" w:hAnsi="Arial" w:cs="Arial"/>
          <w:b/>
          <w:sz w:val="24"/>
          <w:szCs w:val="24"/>
        </w:rPr>
        <w:t xml:space="preserve">, </w:t>
      </w:r>
      <w:r>
        <w:rPr>
          <w:rFonts w:ascii="Arial" w:hAnsi="Arial" w:cs="Arial"/>
          <w:b/>
          <w:sz w:val="24"/>
          <w:szCs w:val="24"/>
        </w:rPr>
        <w:t xml:space="preserve">por lo que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4F16BF">
        <w:rPr>
          <w:rFonts w:ascii="Arial" w:hAnsi="Arial" w:cs="Arial"/>
          <w:sz w:val="24"/>
          <w:szCs w:val="24"/>
        </w:rPr>
        <w:t>***** ***** ***** *****</w:t>
      </w:r>
      <w:r>
        <w:rPr>
          <w:rFonts w:ascii="Arial" w:hAnsi="Arial" w:cs="Arial"/>
          <w:sz w:val="24"/>
          <w:szCs w:val="24"/>
        </w:rPr>
        <w:t>, evitando la discriminación.</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se refiere a </w:t>
      </w:r>
      <w:r w:rsidRPr="00574909">
        <w:rPr>
          <w:rFonts w:ascii="Arial" w:hAnsi="Arial" w:cs="Arial"/>
          <w:b/>
          <w:sz w:val="24"/>
          <w:szCs w:val="24"/>
          <w:u w:val="single"/>
        </w:rPr>
        <w:t xml:space="preserve">la </w:t>
      </w:r>
      <w:r>
        <w:rPr>
          <w:rFonts w:ascii="Arial" w:hAnsi="Arial" w:cs="Arial"/>
          <w:b/>
          <w:sz w:val="24"/>
          <w:szCs w:val="24"/>
          <w:u w:val="single"/>
        </w:rPr>
        <w:t>segunda</w:t>
      </w:r>
      <w:r w:rsidRPr="00574909">
        <w:rPr>
          <w:rFonts w:ascii="Arial" w:hAnsi="Arial" w:cs="Arial"/>
          <w:b/>
          <w:sz w:val="24"/>
          <w:szCs w:val="24"/>
          <w:u w:val="single"/>
        </w:rPr>
        <w:t xml:space="preserve"> premisa</w:t>
      </w:r>
      <w:r>
        <w:rPr>
          <w:rFonts w:ascii="Arial" w:hAnsi="Arial" w:cs="Arial"/>
          <w:sz w:val="24"/>
          <w:szCs w:val="24"/>
        </w:rPr>
        <w:t xml:space="preserve">, consistente en la reducción del 9% de la pensión, se concede razón al actor, en cuanto a su inconstitucionalidad, porque dicho descuento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la aportación regulada por el legislador local (9% a la pensión), no encuadra en ninguna de las hipótesis permitidas, ya que se traduce en un descuento indebido del monto de la pensión jubilatoria, encaminado a constituir el fondo monetario con el que se cubriría la misma.</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w:t>
      </w:r>
      <w:r>
        <w:rPr>
          <w:rFonts w:ascii="Arial" w:hAnsi="Arial" w:cs="Arial"/>
          <w:sz w:val="24"/>
          <w:szCs w:val="24"/>
        </w:rPr>
        <w:lastRenderedPageBreak/>
        <w:t xml:space="preserve">Estados Unidos Mexicanos, en perjuicio de la actora, que se refiere a su Derecho a la Igualdad y a la no discriminación, de ahí la ilegalidad del descuento del nueve por cierto a la pensión obsequiada.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rsidR="00322F8D" w:rsidRPr="00065A93"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Gaceta del Semanario Judicial de la Federación, Libro 63, Febrero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Gaceta del Semanario Judicial de la Federación, Libro 11, Octubre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rsidR="00322F8D"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 xml:space="preserve">“CONTROL DE CONSTITUCIONALIDAD </w:t>
      </w:r>
      <w:r w:rsidRPr="001042B6">
        <w:rPr>
          <w:rFonts w:ascii="Arial" w:hAnsi="Arial" w:cs="Arial"/>
          <w:i/>
          <w:sz w:val="24"/>
          <w:szCs w:val="24"/>
        </w:rPr>
        <w:lastRenderedPageBreak/>
        <w:t>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rsidR="00322F8D" w:rsidRPr="001042B6" w:rsidRDefault="00322F8D" w:rsidP="00322F8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4F16BF">
        <w:rPr>
          <w:rFonts w:ascii="Arial" w:hAnsi="Arial" w:cs="Arial"/>
          <w:sz w:val="24"/>
          <w:szCs w:val="24"/>
        </w:rPr>
        <w:t>OP/DG/****/2018</w:t>
      </w:r>
      <w:r>
        <w:rPr>
          <w:rFonts w:ascii="Arial" w:hAnsi="Arial" w:cs="Arial"/>
          <w:sz w:val="24"/>
          <w:szCs w:val="24"/>
        </w:rPr>
        <w:t xml:space="preserve">, de fecha </w:t>
      </w:r>
      <w:r w:rsidR="004F16BF">
        <w:rPr>
          <w:rFonts w:ascii="Arial" w:hAnsi="Arial" w:cs="Arial"/>
          <w:sz w:val="24"/>
          <w:szCs w:val="24"/>
        </w:rPr>
        <w:t>***** de ***** de dos mil dieciocho (**/**/2018)</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xml:space="preserve">, así como del acuerdo emitido el día </w:t>
      </w:r>
      <w:r w:rsidR="004F16BF">
        <w:rPr>
          <w:rFonts w:ascii="Arial" w:hAnsi="Arial" w:cs="Arial"/>
          <w:sz w:val="24"/>
          <w:szCs w:val="24"/>
        </w:rPr>
        <w:t>***** de ***** de dos mil dieciocho (**/**/2018)</w:t>
      </w:r>
      <w:r>
        <w:rPr>
          <w:rFonts w:ascii="Arial" w:hAnsi="Arial" w:cs="Arial"/>
          <w:sz w:val="24"/>
          <w:szCs w:val="24"/>
        </w:rPr>
        <w:t xml:space="preserve">, por el Consejo Directivo de Pensiones,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del actor,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w:t>
      </w:r>
      <w:r w:rsidRPr="001042B6">
        <w:rPr>
          <w:rFonts w:ascii="Arial" w:hAnsi="Arial" w:cs="Arial"/>
          <w:sz w:val="24"/>
          <w:szCs w:val="24"/>
        </w:rPr>
        <w:t>lo anterior de conformidad con lo dispuesto en los artículos</w:t>
      </w:r>
      <w:r>
        <w:rPr>
          <w:rFonts w:ascii="Arial" w:hAnsi="Arial" w:cs="Arial"/>
          <w:sz w:val="24"/>
          <w:szCs w:val="24"/>
        </w:rPr>
        <w:t xml:space="preserve"> 18 fracción II última parte, </w:t>
      </w:r>
      <w:r w:rsidRPr="001042B6">
        <w:rPr>
          <w:rFonts w:ascii="Arial" w:hAnsi="Arial" w:cs="Arial"/>
          <w:sz w:val="24"/>
          <w:szCs w:val="24"/>
        </w:rPr>
        <w:t xml:space="preserve">207, 208, y 209 de la Ley de Procedimiento y Justicia Administrativa para el Estado de Oaxaca. </w:t>
      </w:r>
    </w:p>
    <w:p w:rsidR="00322F8D" w:rsidRDefault="00322F8D" w:rsidP="00322F8D">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3660C9">
        <w:rPr>
          <w:rFonts w:ascii="Arial" w:hAnsi="Arial" w:cs="Arial"/>
          <w:sz w:val="24"/>
          <w:szCs w:val="24"/>
        </w:rPr>
        <w:t xml:space="preserve">- - - </w:t>
      </w:r>
    </w:p>
    <w:p w:rsidR="00322F8D" w:rsidRDefault="00322F8D" w:rsidP="00322F8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22F8D" w:rsidRDefault="00322F8D" w:rsidP="00322F8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7F07FC">
        <w:rPr>
          <w:rFonts w:ascii="Arial" w:hAnsi="Arial" w:cs="Arial"/>
          <w:sz w:val="24"/>
          <w:szCs w:val="24"/>
        </w:rPr>
        <w:t>-</w:t>
      </w:r>
    </w:p>
    <w:p w:rsidR="00322F8D" w:rsidRDefault="00322F8D" w:rsidP="00322F8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7F07FC">
        <w:rPr>
          <w:rFonts w:ascii="Arial" w:hAnsi="Arial" w:cs="Arial"/>
          <w:sz w:val="24"/>
          <w:szCs w:val="24"/>
        </w:rPr>
        <w:t>- - - - - - - - -</w:t>
      </w:r>
    </w:p>
    <w:p w:rsidR="00322F8D" w:rsidRDefault="00322F8D" w:rsidP="00322F8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4F16BF">
        <w:rPr>
          <w:rFonts w:ascii="Arial" w:hAnsi="Arial" w:cs="Arial"/>
          <w:sz w:val="24"/>
          <w:szCs w:val="24"/>
        </w:rPr>
        <w:t>OP/DG/****/2018</w:t>
      </w:r>
      <w:r>
        <w:rPr>
          <w:rFonts w:ascii="Arial" w:hAnsi="Arial" w:cs="Arial"/>
          <w:sz w:val="24"/>
          <w:szCs w:val="24"/>
        </w:rPr>
        <w:t xml:space="preserve">, de fecha </w:t>
      </w:r>
      <w:r w:rsidR="004F16BF">
        <w:rPr>
          <w:rFonts w:ascii="Arial" w:hAnsi="Arial" w:cs="Arial"/>
          <w:sz w:val="24"/>
          <w:szCs w:val="24"/>
        </w:rPr>
        <w:t>***** de ***** de dos mil dieciocho (**/**/2018)</w:t>
      </w:r>
      <w:r>
        <w:rPr>
          <w:rFonts w:ascii="Arial" w:hAnsi="Arial" w:cs="Arial"/>
          <w:sz w:val="24"/>
          <w:szCs w:val="24"/>
        </w:rPr>
        <w:t xml:space="preserve">, emitido por el </w:t>
      </w:r>
      <w:r w:rsidRPr="001042B6">
        <w:rPr>
          <w:rFonts w:ascii="Arial" w:hAnsi="Arial" w:cs="Arial"/>
          <w:sz w:val="24"/>
          <w:szCs w:val="24"/>
        </w:rPr>
        <w:t xml:space="preserve"> Director </w:t>
      </w:r>
      <w:r w:rsidRPr="001042B6">
        <w:rPr>
          <w:rFonts w:ascii="Arial" w:hAnsi="Arial" w:cs="Arial"/>
          <w:sz w:val="24"/>
          <w:szCs w:val="24"/>
        </w:rPr>
        <w:lastRenderedPageBreak/>
        <w:t xml:space="preserve">General de la Oficina de Pensiones del Estado de </w:t>
      </w:r>
      <w:r w:rsidRPr="00A461FD">
        <w:rPr>
          <w:rFonts w:ascii="Arial" w:hAnsi="Arial" w:cs="Arial"/>
          <w:sz w:val="24"/>
          <w:szCs w:val="24"/>
        </w:rPr>
        <w:t>Oaxaca</w:t>
      </w:r>
      <w:r>
        <w:rPr>
          <w:rFonts w:ascii="Arial" w:hAnsi="Arial" w:cs="Arial"/>
          <w:sz w:val="24"/>
          <w:szCs w:val="24"/>
        </w:rPr>
        <w:t xml:space="preserve">, así como del acuerdo emitido el día </w:t>
      </w:r>
      <w:r w:rsidR="004F16BF">
        <w:rPr>
          <w:rFonts w:ascii="Arial" w:hAnsi="Arial" w:cs="Arial"/>
          <w:sz w:val="24"/>
          <w:szCs w:val="24"/>
        </w:rPr>
        <w:t>***** de ***** de dos mil dieciocho (**/**/2018)</w:t>
      </w:r>
      <w:r>
        <w:rPr>
          <w:rFonts w:ascii="Arial" w:hAnsi="Arial" w:cs="Arial"/>
          <w:sz w:val="24"/>
          <w:szCs w:val="24"/>
        </w:rPr>
        <w:t xml:space="preserve">, por el Consejo Directivo de Pensiones,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del actor,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lo anterior en términos precisados en el considerando SEXTO de esta resolución. - - - - - - - - - - - - - - - - - - - - - </w:t>
      </w:r>
      <w:r w:rsidR="0035348F">
        <w:rPr>
          <w:rFonts w:ascii="Arial" w:hAnsi="Arial" w:cs="Arial"/>
          <w:sz w:val="24"/>
          <w:szCs w:val="24"/>
        </w:rPr>
        <w:t>- - - - -</w:t>
      </w:r>
      <w:r w:rsidR="004F16BF">
        <w:rPr>
          <w:rFonts w:ascii="Arial" w:hAnsi="Arial" w:cs="Arial"/>
          <w:sz w:val="24"/>
          <w:szCs w:val="24"/>
        </w:rPr>
        <w:t xml:space="preserve"> - - - - - - - - - - - - - - - - - - - - - - </w:t>
      </w:r>
      <w:bookmarkStart w:id="0" w:name="_GoBack"/>
      <w:bookmarkEnd w:id="0"/>
    </w:p>
    <w:p w:rsidR="00322F8D" w:rsidRDefault="00322F8D" w:rsidP="00322F8D">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6B1694">
        <w:rPr>
          <w:rFonts w:ascii="Arial" w:hAnsi="Arial" w:cs="Arial"/>
          <w:sz w:val="24"/>
          <w:szCs w:val="24"/>
        </w:rPr>
        <w:t xml:space="preserve">- - - - - - - - - - - - - - </w:t>
      </w:r>
    </w:p>
    <w:p w:rsidR="00322F8D" w:rsidRDefault="00322F8D" w:rsidP="00322F8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927FD4">
        <w:rPr>
          <w:rFonts w:ascii="Arial" w:hAnsi="Arial" w:cs="Arial"/>
          <w:sz w:val="24"/>
          <w:szCs w:val="24"/>
        </w:rPr>
        <w:t xml:space="preserve">- - - - - - - - - - - </w:t>
      </w:r>
    </w:p>
    <w:p w:rsidR="00322F8D" w:rsidRDefault="00322F8D" w:rsidP="00322F8D">
      <w:pPr>
        <w:tabs>
          <w:tab w:val="center" w:pos="4574"/>
        </w:tabs>
        <w:spacing w:line="360" w:lineRule="auto"/>
        <w:jc w:val="both"/>
        <w:rPr>
          <w:rFonts w:ascii="Arial" w:hAnsi="Arial" w:cs="Arial"/>
          <w:sz w:val="24"/>
          <w:szCs w:val="24"/>
        </w:rPr>
      </w:pPr>
    </w:p>
    <w:p w:rsidR="00F35A1F" w:rsidRPr="0006249E" w:rsidRDefault="00F35A1F" w:rsidP="0006249E"/>
    <w:sectPr w:rsidR="00F35A1F" w:rsidRPr="0006249E" w:rsidSect="004F16BF">
      <w:headerReference w:type="even" r:id="rId10"/>
      <w:headerReference w:type="default" r:id="rId11"/>
      <w:footerReference w:type="default" r:id="rId12"/>
      <w:headerReference w:type="first" r:id="rId13"/>
      <w:pgSz w:w="12240" w:h="20160" w:code="5"/>
      <w:pgMar w:top="851" w:right="1701" w:bottom="340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31" w:rsidRDefault="00113731" w:rsidP="00D833EF">
      <w:pPr>
        <w:spacing w:after="0" w:line="240" w:lineRule="auto"/>
      </w:pPr>
      <w:r>
        <w:separator/>
      </w:r>
    </w:p>
  </w:endnote>
  <w:endnote w:type="continuationSeparator" w:id="0">
    <w:p w:rsidR="00113731" w:rsidRDefault="00113731"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4F16BF"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927FD4" w:rsidRPr="00927FD4">
                      <w:rPr>
                        <w:noProof/>
                        <w:color w:val="000000" w:themeColor="text1"/>
                        <w:lang w:val="es-ES"/>
                      </w:rPr>
                      <w:t>15</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31" w:rsidRDefault="00113731" w:rsidP="00D833EF">
      <w:pPr>
        <w:spacing w:after="0" w:line="240" w:lineRule="auto"/>
      </w:pPr>
      <w:r>
        <w:separator/>
      </w:r>
    </w:p>
  </w:footnote>
  <w:footnote w:type="continuationSeparator" w:id="0">
    <w:p w:rsidR="00113731" w:rsidRDefault="00113731"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F16BF">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35pt;margin-top:395.15pt;width:89.55pt;height:103.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">
          <v:textbox>
            <w:txbxContent>
              <w:p w:rsidR="004F16BF" w:rsidRPr="003B6E97" w:rsidRDefault="004F16BF" w:rsidP="004F16B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69844"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F16BF"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3616EBC5" wp14:editId="285FBAF6">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06249E">
      <w:rPr>
        <w:rFonts w:ascii="Bookman Old Style" w:hAnsi="Bookman Old Style"/>
        <w:b/>
      </w:rPr>
      <w:t>002</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6249E">
      <w:rPr>
        <w:rFonts w:ascii="Bookman Old Style" w:hAnsi="Bookman Old Style"/>
        <w:b/>
        <w:sz w:val="24"/>
        <w:szCs w:val="24"/>
      </w:rPr>
      <w:t>9</w:t>
    </w:r>
  </w:p>
  <w:p w:rsidR="00743773" w:rsidRPr="00071C38" w:rsidRDefault="004F16BF" w:rsidP="00C35811">
    <w:pPr>
      <w:pStyle w:val="Encabezado"/>
      <w:jc w:val="center"/>
      <w:rPr>
        <w:rFonts w:ascii="Arial" w:hAnsi="Arial" w:cs="Arial"/>
        <w:b/>
        <w:sz w:val="24"/>
      </w:rPr>
    </w:pPr>
    <w:r>
      <w:rPr>
        <w:noProof/>
      </w:rPr>
      <w:pict>
        <v:shape id="Cuadro de texto 6" o:spid="_x0000_s2070" type="#_x0000_t202" style="position:absolute;left:0;text-align:left;margin-left:-101.4pt;margin-top:349.55pt;width:89.55pt;height:103.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">
          <v:textbox>
            <w:txbxContent>
              <w:p w:rsidR="004F16BF" w:rsidRPr="003B6E97" w:rsidRDefault="004F16BF" w:rsidP="004F16BF">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49FB89F5" wp14:editId="51E8690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F16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69843"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000D"/>
    <w:rsid w:val="000013FF"/>
    <w:rsid w:val="00001A48"/>
    <w:rsid w:val="000032C0"/>
    <w:rsid w:val="000049ED"/>
    <w:rsid w:val="00004A63"/>
    <w:rsid w:val="00004A9C"/>
    <w:rsid w:val="00007059"/>
    <w:rsid w:val="00011505"/>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49E"/>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D4"/>
    <w:rsid w:val="000B49EF"/>
    <w:rsid w:val="000B527C"/>
    <w:rsid w:val="000B7845"/>
    <w:rsid w:val="000B7FE0"/>
    <w:rsid w:val="000C0654"/>
    <w:rsid w:val="000C2A54"/>
    <w:rsid w:val="000C3B0E"/>
    <w:rsid w:val="000C4864"/>
    <w:rsid w:val="000C4C26"/>
    <w:rsid w:val="000C53DA"/>
    <w:rsid w:val="000C557A"/>
    <w:rsid w:val="000C666F"/>
    <w:rsid w:val="000C711C"/>
    <w:rsid w:val="000C75EB"/>
    <w:rsid w:val="000C7766"/>
    <w:rsid w:val="000D069B"/>
    <w:rsid w:val="000D093D"/>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2454"/>
    <w:rsid w:val="000F46CA"/>
    <w:rsid w:val="000F52B3"/>
    <w:rsid w:val="000F6265"/>
    <w:rsid w:val="000F7052"/>
    <w:rsid w:val="001005E9"/>
    <w:rsid w:val="00102843"/>
    <w:rsid w:val="00103338"/>
    <w:rsid w:val="00103A8B"/>
    <w:rsid w:val="00104882"/>
    <w:rsid w:val="001054C2"/>
    <w:rsid w:val="00105734"/>
    <w:rsid w:val="001059A6"/>
    <w:rsid w:val="00106CD2"/>
    <w:rsid w:val="0011041F"/>
    <w:rsid w:val="001134C2"/>
    <w:rsid w:val="00113731"/>
    <w:rsid w:val="00116BF0"/>
    <w:rsid w:val="00116E80"/>
    <w:rsid w:val="00116FEE"/>
    <w:rsid w:val="0011704B"/>
    <w:rsid w:val="001179FE"/>
    <w:rsid w:val="00120741"/>
    <w:rsid w:val="00120751"/>
    <w:rsid w:val="0012197D"/>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611B"/>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19F"/>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3C2D"/>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2F8D"/>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48F"/>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660C9"/>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0793"/>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6BF"/>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3A0"/>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1694"/>
    <w:rsid w:val="006B2760"/>
    <w:rsid w:val="006B2D14"/>
    <w:rsid w:val="006B2F96"/>
    <w:rsid w:val="006B4AEE"/>
    <w:rsid w:val="006B5F97"/>
    <w:rsid w:val="006B696E"/>
    <w:rsid w:val="006B716E"/>
    <w:rsid w:val="006C1704"/>
    <w:rsid w:val="006C1C5D"/>
    <w:rsid w:val="006C2005"/>
    <w:rsid w:val="006C2A84"/>
    <w:rsid w:val="006C467B"/>
    <w:rsid w:val="006C529E"/>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4388"/>
    <w:rsid w:val="00724963"/>
    <w:rsid w:val="0072505F"/>
    <w:rsid w:val="00726FBB"/>
    <w:rsid w:val="007321D2"/>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7FC"/>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313"/>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288"/>
    <w:rsid w:val="0091483D"/>
    <w:rsid w:val="00915390"/>
    <w:rsid w:val="00916639"/>
    <w:rsid w:val="00917B45"/>
    <w:rsid w:val="009209C5"/>
    <w:rsid w:val="009215FF"/>
    <w:rsid w:val="00922036"/>
    <w:rsid w:val="009224FB"/>
    <w:rsid w:val="00923D43"/>
    <w:rsid w:val="009277BC"/>
    <w:rsid w:val="00927FD4"/>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448B"/>
    <w:rsid w:val="009A4890"/>
    <w:rsid w:val="009A4EEB"/>
    <w:rsid w:val="009A52BA"/>
    <w:rsid w:val="009A571C"/>
    <w:rsid w:val="009A5CE8"/>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27D1"/>
    <w:rsid w:val="00A73074"/>
    <w:rsid w:val="00A7400D"/>
    <w:rsid w:val="00A74A5F"/>
    <w:rsid w:val="00A7542B"/>
    <w:rsid w:val="00A76E72"/>
    <w:rsid w:val="00A778DA"/>
    <w:rsid w:val="00A8098F"/>
    <w:rsid w:val="00A81304"/>
    <w:rsid w:val="00A82957"/>
    <w:rsid w:val="00A83362"/>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142"/>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2921"/>
    <w:rsid w:val="00C32ACD"/>
    <w:rsid w:val="00C34DB2"/>
    <w:rsid w:val="00C35811"/>
    <w:rsid w:val="00C36230"/>
    <w:rsid w:val="00C410EC"/>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1DA2"/>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2A0D"/>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C7BD6"/>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037"/>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C7138"/>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4CB4"/>
    <w:rsid w:val="00FB5089"/>
    <w:rsid w:val="00FB5E1B"/>
    <w:rsid w:val="00FB671C"/>
    <w:rsid w:val="00FB6E4E"/>
    <w:rsid w:val="00FC2480"/>
    <w:rsid w:val="00FC3B87"/>
    <w:rsid w:val="00FC5874"/>
    <w:rsid w:val="00FD07B0"/>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B998E67"/>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06759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nur.org/fileadmin/Documentos/BDL/2012/87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FF44-4AFC-4429-B7E4-34BFE937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15</Pages>
  <Words>5444</Words>
  <Characters>29943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1158</cp:revision>
  <cp:lastPrinted>2019-05-30T15:06:00Z</cp:lastPrinted>
  <dcterms:created xsi:type="dcterms:W3CDTF">2016-06-06T18:19:00Z</dcterms:created>
  <dcterms:modified xsi:type="dcterms:W3CDTF">2019-10-02T19:44:00Z</dcterms:modified>
</cp:coreProperties>
</file>